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A6" w:rsidRDefault="00A25AA6" w:rsidP="00F344A5">
      <w:pPr>
        <w:bidi/>
        <w:jc w:val="center"/>
        <w:rPr>
          <w:b/>
          <w:bCs/>
          <w:sz w:val="36"/>
          <w:szCs w:val="36"/>
          <w:rtl/>
        </w:rPr>
      </w:pPr>
      <w:r w:rsidRPr="00A25AA6">
        <w:rPr>
          <w:rFonts w:hint="cs"/>
          <w:b/>
          <w:bCs/>
          <w:sz w:val="36"/>
          <w:szCs w:val="36"/>
          <w:rtl/>
        </w:rPr>
        <w:t>ملخص حول إجراءات فتح الحساب البنكي</w:t>
      </w:r>
    </w:p>
    <w:p w:rsidR="00F344A5" w:rsidRDefault="00F344A5" w:rsidP="00F344A5">
      <w:pPr>
        <w:bidi/>
        <w:jc w:val="center"/>
        <w:rPr>
          <w:b/>
          <w:bCs/>
          <w:sz w:val="36"/>
          <w:szCs w:val="36"/>
          <w:rtl/>
        </w:rPr>
      </w:pPr>
    </w:p>
    <w:p w:rsidR="003806C0" w:rsidRPr="009E649E" w:rsidRDefault="00037C59" w:rsidP="00A25AA6">
      <w:pPr>
        <w:bidi/>
        <w:jc w:val="both"/>
        <w:rPr>
          <w:b/>
          <w:bCs/>
          <w:sz w:val="40"/>
          <w:szCs w:val="40"/>
          <w:rtl/>
        </w:rPr>
      </w:pPr>
      <w:r w:rsidRPr="009E649E">
        <w:rPr>
          <w:b/>
          <w:bCs/>
          <w:sz w:val="40"/>
          <w:szCs w:val="40"/>
          <w:rtl/>
        </w:rPr>
        <w:t>الأشخاص التي يمكن لها فتح حساب لدى البنك</w:t>
      </w:r>
      <w:r w:rsidR="003806C0" w:rsidRPr="009E649E">
        <w:rPr>
          <w:rFonts w:hint="cs"/>
          <w:b/>
          <w:bCs/>
          <w:sz w:val="40"/>
          <w:szCs w:val="40"/>
          <w:rtl/>
        </w:rPr>
        <w:t>:</w:t>
      </w:r>
    </w:p>
    <w:p w:rsidR="003806C0" w:rsidRPr="009D0013" w:rsidRDefault="00037C59" w:rsidP="003806C0">
      <w:pPr>
        <w:bidi/>
        <w:spacing w:line="276" w:lineRule="auto"/>
        <w:jc w:val="both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  <w:r w:rsidRPr="009E649E">
        <w:rPr>
          <w:sz w:val="40"/>
          <w:szCs w:val="40"/>
          <w:rtl/>
        </w:rPr>
        <w:t xml:space="preserve">أ </w:t>
      </w:r>
      <w:proofErr w:type="gramStart"/>
      <w:r w:rsidRPr="009E649E">
        <w:rPr>
          <w:rFonts w:ascii="Traditional Arabic" w:hAnsi="Traditional Arabic" w:cs="Traditional Arabic"/>
          <w:sz w:val="40"/>
          <w:szCs w:val="40"/>
          <w:rtl/>
        </w:rPr>
        <w:t>- الشخص</w:t>
      </w:r>
      <w:proofErr w:type="gramEnd"/>
      <w:r w:rsidRPr="009E649E">
        <w:rPr>
          <w:rFonts w:ascii="Traditional Arabic" w:hAnsi="Traditional Arabic" w:cs="Traditional Arabic"/>
          <w:sz w:val="40"/>
          <w:szCs w:val="40"/>
          <w:rtl/>
        </w:rPr>
        <w:t xml:space="preserve"> الطبيعي: وهو كل فرد مهما كانت مهنته باستطاعته فتح حساب لدى البنك ، إذا كانت تتوفر فيه الشروط القانونية </w:t>
      </w:r>
      <w:r w:rsidRPr="009D0013"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  <w:t>كالأهلية و القدرة على ممارسة الأعمال المدنية</w:t>
      </w:r>
    </w:p>
    <w:p w:rsidR="003806C0" w:rsidRPr="009E649E" w:rsidRDefault="00037C59" w:rsidP="009E649E">
      <w:pPr>
        <w:bidi/>
        <w:spacing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9E649E">
        <w:rPr>
          <w:rFonts w:ascii="Traditional Arabic" w:hAnsi="Traditional Arabic" w:cs="Traditional Arabic"/>
          <w:sz w:val="40"/>
          <w:szCs w:val="40"/>
          <w:rtl/>
        </w:rPr>
        <w:t xml:space="preserve">ب </w:t>
      </w:r>
      <w:proofErr w:type="gramStart"/>
      <w:r w:rsidRPr="009E649E">
        <w:rPr>
          <w:rFonts w:ascii="Traditional Arabic" w:hAnsi="Traditional Arabic" w:cs="Traditional Arabic"/>
          <w:sz w:val="40"/>
          <w:szCs w:val="40"/>
          <w:rtl/>
        </w:rPr>
        <w:t>- الأشخاص</w:t>
      </w:r>
      <w:proofErr w:type="gramEnd"/>
      <w:r w:rsidRPr="009E649E">
        <w:rPr>
          <w:rFonts w:ascii="Traditional Arabic" w:hAnsi="Traditional Arabic" w:cs="Traditional Arabic"/>
          <w:sz w:val="40"/>
          <w:szCs w:val="40"/>
          <w:rtl/>
        </w:rPr>
        <w:t xml:space="preserve"> المعنوية : هي تلك الأشخاص المفترضة من طرف المشرع إذ يطلق عليها الأشخاص القانونية ، و تشمل : الدولة ، الولاية، البلدية، المؤسسات الاقتصادية ، الشركات التجارية و الجمعيات . . . الخ ، إذ تتمتع بحالة مدنية و ذمة مالية</w:t>
      </w:r>
      <w:r w:rsidRPr="009E649E">
        <w:rPr>
          <w:rFonts w:ascii="Traditional Arabic" w:hAnsi="Traditional Arabic" w:cs="Traditional Arabic"/>
          <w:sz w:val="40"/>
          <w:szCs w:val="40"/>
        </w:rPr>
        <w:t xml:space="preserve">. </w:t>
      </w:r>
      <w:r w:rsidRPr="009E649E">
        <w:rPr>
          <w:rFonts w:ascii="Traditional Arabic" w:hAnsi="Traditional Arabic" w:cs="Traditional Arabic"/>
          <w:sz w:val="40"/>
          <w:szCs w:val="40"/>
          <w:rtl/>
        </w:rPr>
        <w:t>و بإمكا</w:t>
      </w:r>
      <w:r w:rsidR="003806C0" w:rsidRPr="009E649E">
        <w:rPr>
          <w:rFonts w:ascii="Traditional Arabic" w:hAnsi="Traditional Arabic" w:cs="Traditional Arabic" w:hint="cs"/>
          <w:sz w:val="40"/>
          <w:szCs w:val="40"/>
          <w:rtl/>
        </w:rPr>
        <w:t xml:space="preserve">نها </w:t>
      </w:r>
      <w:r w:rsidRPr="009E649E">
        <w:rPr>
          <w:rFonts w:ascii="Traditional Arabic" w:hAnsi="Traditional Arabic" w:cs="Traditional Arabic"/>
          <w:sz w:val="40"/>
          <w:szCs w:val="40"/>
          <w:rtl/>
        </w:rPr>
        <w:t>فتح حساب بشرط أن تقدم الوثائق الرسمية الدالة</w:t>
      </w:r>
      <w:r w:rsidR="009E649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gramStart"/>
      <w:r w:rsidR="009E649E">
        <w:rPr>
          <w:rFonts w:ascii="Traditional Arabic" w:hAnsi="Traditional Arabic" w:cs="Traditional Arabic" w:hint="cs"/>
          <w:sz w:val="40"/>
          <w:szCs w:val="40"/>
          <w:rtl/>
        </w:rPr>
        <w:t>( العقد</w:t>
      </w:r>
      <w:proofErr w:type="gramEnd"/>
      <w:r w:rsidR="009E649E">
        <w:rPr>
          <w:rFonts w:ascii="Traditional Arabic" w:hAnsi="Traditional Arabic" w:cs="Traditional Arabic" w:hint="cs"/>
          <w:sz w:val="40"/>
          <w:szCs w:val="40"/>
          <w:rtl/>
        </w:rPr>
        <w:t xml:space="preserve"> التأسيسي للشركة)</w:t>
      </w:r>
      <w:r w:rsidRPr="009E649E">
        <w:rPr>
          <w:rFonts w:ascii="Traditional Arabic" w:hAnsi="Traditional Arabic" w:cs="Traditional Arabic"/>
          <w:sz w:val="40"/>
          <w:szCs w:val="40"/>
          <w:rtl/>
        </w:rPr>
        <w:t xml:space="preserve"> على شخصيتها و </w:t>
      </w:r>
      <w:r w:rsidR="003806C0" w:rsidRPr="009E649E">
        <w:rPr>
          <w:rFonts w:ascii="Traditional Arabic" w:hAnsi="Traditional Arabic" w:cs="Traditional Arabic" w:hint="cs"/>
          <w:sz w:val="40"/>
          <w:szCs w:val="40"/>
          <w:rtl/>
        </w:rPr>
        <w:t>عنوانها</w:t>
      </w:r>
      <w:r w:rsidRPr="009E649E">
        <w:rPr>
          <w:rFonts w:ascii="Traditional Arabic" w:hAnsi="Traditional Arabic" w:cs="Traditional Arabic"/>
          <w:sz w:val="40"/>
          <w:szCs w:val="40"/>
          <w:rtl/>
        </w:rPr>
        <w:t>، و يعطى للبنك اسم الشخص الطبيعي المخول لل</w:t>
      </w:r>
      <w:r w:rsidR="009E649E">
        <w:rPr>
          <w:rFonts w:ascii="Traditional Arabic" w:hAnsi="Traditional Arabic" w:cs="Traditional Arabic" w:hint="cs"/>
          <w:sz w:val="40"/>
          <w:szCs w:val="40"/>
          <w:rtl/>
        </w:rPr>
        <w:t>تعامل و التصرف</w:t>
      </w:r>
      <w:r w:rsidRPr="009E649E">
        <w:rPr>
          <w:rFonts w:ascii="Traditional Arabic" w:hAnsi="Traditional Arabic" w:cs="Traditional Arabic"/>
          <w:sz w:val="40"/>
          <w:szCs w:val="40"/>
          <w:rtl/>
        </w:rPr>
        <w:t xml:space="preserve"> بالبنك نيابة عن الشخص المعنوي مع نموذج توقيعه</w:t>
      </w:r>
      <w:r w:rsidR="003806C0" w:rsidRPr="009E649E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D569B5" w:rsidRDefault="003806C0" w:rsidP="008E6F0A">
      <w:pPr>
        <w:bidi/>
        <w:spacing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9E649E">
        <w:rPr>
          <w:rFonts w:ascii="Traditional Arabic" w:hAnsi="Traditional Arabic" w:cs="Traditional Arabic" w:hint="cs"/>
          <w:sz w:val="40"/>
          <w:szCs w:val="40"/>
          <w:rtl/>
        </w:rPr>
        <w:t>-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8E6F0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إجراءات </w:t>
      </w:r>
      <w:r w:rsidR="00037C59" w:rsidRPr="009E649E">
        <w:rPr>
          <w:rFonts w:ascii="Traditional Arabic" w:hAnsi="Traditional Arabic" w:cs="Traditional Arabic"/>
          <w:b/>
          <w:bCs/>
          <w:sz w:val="40"/>
          <w:szCs w:val="40"/>
          <w:rtl/>
        </w:rPr>
        <w:t>فتح حساب لدى البنك</w:t>
      </w:r>
      <w:r w:rsidR="00037C59" w:rsidRPr="009E649E">
        <w:rPr>
          <w:rFonts w:ascii="Traditional Arabic" w:hAnsi="Traditional Arabic" w:cs="Traditional Arabic"/>
          <w:b/>
          <w:bCs/>
          <w:sz w:val="40"/>
          <w:szCs w:val="40"/>
        </w:rPr>
        <w:t>: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تخضع</w:t>
      </w:r>
      <w:r w:rsidR="008E6F0A">
        <w:rPr>
          <w:rFonts w:ascii="Traditional Arabic" w:hAnsi="Traditional Arabic" w:cs="Traditional Arabic"/>
          <w:sz w:val="40"/>
          <w:szCs w:val="40"/>
          <w:rtl/>
        </w:rPr>
        <w:t xml:space="preserve"> عملية فتح حساب لدى البنك لل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>إجراءات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التالية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: –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يقوم البنك بالتحقق من هوية الزبون ، إذ يطلب منه تقديم نسخة من بطاقة التعريف الوطنية أو رخصة السياقة</w:t>
      </w:r>
      <w:r w:rsidR="00F344A5">
        <w:rPr>
          <w:rFonts w:ascii="Traditional Arabic" w:hAnsi="Traditional Arabic" w:cs="Traditional Arabic" w:hint="cs"/>
          <w:sz w:val="40"/>
          <w:szCs w:val="40"/>
          <w:rtl/>
        </w:rPr>
        <w:t>( حيث يفترض حضور المعني إلا في حالات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الوص</w:t>
      </w:r>
      <w:r w:rsidR="00F344A5">
        <w:rPr>
          <w:rFonts w:ascii="Traditional Arabic" w:hAnsi="Traditional Arabic" w:cs="Traditional Arabic" w:hint="cs"/>
          <w:sz w:val="40"/>
          <w:szCs w:val="40"/>
          <w:rtl/>
        </w:rPr>
        <w:t>اية و الوكالة)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، كما</w:t>
      </w:r>
      <w:r w:rsidR="008E6F0A">
        <w:rPr>
          <w:rFonts w:ascii="Traditional Arabic" w:hAnsi="Traditional Arabic" w:cs="Traditional Arabic"/>
          <w:sz w:val="40"/>
          <w:szCs w:val="40"/>
          <w:rtl/>
        </w:rPr>
        <w:t xml:space="preserve"> يتحقق البنك من أهليته 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في كل الجوانب و تقديم طلب خطي أو </w:t>
      </w:r>
      <w:proofErr w:type="spellStart"/>
      <w:r w:rsidR="008E6F0A">
        <w:rPr>
          <w:rFonts w:ascii="Traditional Arabic" w:hAnsi="Traditional Arabic" w:cs="Traditional Arabic" w:hint="cs"/>
          <w:sz w:val="40"/>
          <w:szCs w:val="40"/>
          <w:rtl/>
        </w:rPr>
        <w:t>إستمارة</w:t>
      </w:r>
      <w:proofErr w:type="spellEnd"/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ممضية شهادة ميلاد و بطاقة إقامة صورة و شهادة عمل او شهادة </w:t>
      </w:r>
      <w:proofErr w:type="spellStart"/>
      <w:r w:rsidR="008E6F0A">
        <w:rPr>
          <w:rFonts w:ascii="Traditional Arabic" w:hAnsi="Traditional Arabic" w:cs="Traditional Arabic" w:hint="cs"/>
          <w:sz w:val="40"/>
          <w:szCs w:val="40"/>
          <w:rtl/>
        </w:rPr>
        <w:t>تمدرس</w:t>
      </w:r>
      <w:proofErr w:type="spellEnd"/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...إلخ مبلغ إيداع معين يحدده البنك حول نوع الحساب</w:t>
      </w:r>
      <w:r w:rsidR="007A0DFC">
        <w:rPr>
          <w:rFonts w:ascii="Traditional Arabic" w:hAnsi="Traditional Arabic" w:cs="Traditional Arabic" w:hint="cs"/>
          <w:sz w:val="40"/>
          <w:szCs w:val="40"/>
          <w:rtl/>
        </w:rPr>
        <w:t xml:space="preserve"> الطوابع </w:t>
      </w:r>
      <w:proofErr w:type="spellStart"/>
      <w:r w:rsidR="007A0DFC">
        <w:rPr>
          <w:rFonts w:ascii="Traditional Arabic" w:hAnsi="Traditional Arabic" w:cs="Traditional Arabic" w:hint="cs"/>
          <w:sz w:val="40"/>
          <w:szCs w:val="40"/>
          <w:rtl/>
        </w:rPr>
        <w:t>الجبائية</w:t>
      </w:r>
      <w:proofErr w:type="spellEnd"/>
      <w:r w:rsidR="007A0DFC">
        <w:rPr>
          <w:rFonts w:ascii="Traditional Arabic" w:hAnsi="Traditional Arabic" w:cs="Traditional Arabic" w:hint="cs"/>
          <w:sz w:val="40"/>
          <w:szCs w:val="40"/>
          <w:rtl/>
        </w:rPr>
        <w:t xml:space="preserve"> و الدمغات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>،  أ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ما إذا تعلق الأمر بالشخص ال</w:t>
      </w:r>
      <w:r w:rsidR="00F344A5">
        <w:rPr>
          <w:rFonts w:ascii="Traditional Arabic" w:hAnsi="Traditional Arabic" w:cs="Traditional Arabic" w:hint="cs"/>
          <w:sz w:val="40"/>
          <w:szCs w:val="40"/>
          <w:rtl/>
        </w:rPr>
        <w:t xml:space="preserve">معنوي و من بينهم الشخص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الذي يمارس حرفة تجارية، يجب عليه أن يقدم مستخرجا من السجل التجاري ويثبت تسجيل عمله التجاري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>.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>نسخة من العقد التأسيسي، شهادة الخضوع لمصلحة الضرائب، الرقم التعريفي الجبائي، تحديد المفوض على الحسابات</w:t>
      </w:r>
      <w:r w:rsidR="009D0013">
        <w:rPr>
          <w:rFonts w:ascii="Traditional Arabic" w:hAnsi="Traditional Arabic" w:cs="Traditional Arabic" w:hint="cs"/>
          <w:sz w:val="40"/>
          <w:szCs w:val="40"/>
          <w:rtl/>
        </w:rPr>
        <w:t xml:space="preserve"> و </w:t>
      </w:r>
      <w:r w:rsidR="009D0013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 xml:space="preserve">تقديم </w:t>
      </w:r>
      <w:proofErr w:type="spellStart"/>
      <w:r w:rsidR="009D0013">
        <w:rPr>
          <w:rFonts w:ascii="Traditional Arabic" w:hAnsi="Traditional Arabic" w:cs="Traditional Arabic" w:hint="cs"/>
          <w:sz w:val="40"/>
          <w:szCs w:val="40"/>
          <w:rtl/>
        </w:rPr>
        <w:t>إستمارة</w:t>
      </w:r>
      <w:proofErr w:type="spellEnd"/>
      <w:r w:rsidR="009D0013">
        <w:rPr>
          <w:rFonts w:ascii="Traditional Arabic" w:hAnsi="Traditional Arabic" w:cs="Traditional Arabic" w:hint="cs"/>
          <w:sz w:val="40"/>
          <w:szCs w:val="40"/>
          <w:rtl/>
        </w:rPr>
        <w:t xml:space="preserve"> إمضاءه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، و تقديم ملف إداري حوله مثل الشخص الطبيعي، 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يسجل البنك فتح الحساب في ( فهرس الحسابات ) مع احترام فترة وقوع العملية و تقيد فيه المعلومات التالية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: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اسم و لقب صاحب الحساب ، عنوانه ، مهنته ، مع تسجيل رقم الحساب و تاريخ فتحه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. 2 –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يقوم بإعداد </w:t>
      </w:r>
      <w:proofErr w:type="gramStart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( بطاقة</w:t>
      </w:r>
      <w:proofErr w:type="gramEnd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الإمضاء ) و يسجل فيها نفس المعلومات التي تم تسجيلها في فهرس الحسابات ، و يشترط في الزبون أن يقدم نموذجا من إمضائه على بطاقة الإمضاء. و تعد هذه العملية عنصرا بالغ الأهمية بالنسبة للبنك إذ لا يمكن أن يقوم بأي عملية لصالح وفائدة الزبون إلا إذا كان الإمضاء مطابقا للإمضاء </w:t>
      </w:r>
      <w:proofErr w:type="spellStart"/>
      <w:proofErr w:type="gramStart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الأصلي،و</w:t>
      </w:r>
      <w:proofErr w:type="spellEnd"/>
      <w:proofErr w:type="gramEnd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إن أراد صاحب الحساب أن يسمح لغيره بعمليات السحب</w:t>
      </w:r>
      <w:r w:rsidRPr="009E649E">
        <w:rPr>
          <w:rFonts w:ascii="Traditional Arabic" w:hAnsi="Traditional Arabic" w:cs="Traditional Arabic" w:hint="cs"/>
          <w:sz w:val="40"/>
          <w:szCs w:val="40"/>
          <w:rtl/>
        </w:rPr>
        <w:t xml:space="preserve"> (</w:t>
      </w:r>
      <w:r w:rsidRPr="009E6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تفويضه</w:t>
      </w:r>
      <w:r w:rsidRPr="009E649E">
        <w:rPr>
          <w:rFonts w:ascii="Traditional Arabic" w:hAnsi="Traditional Arabic" w:cs="Traditional Arabic" w:hint="cs"/>
          <w:sz w:val="40"/>
          <w:szCs w:val="40"/>
          <w:rtl/>
        </w:rPr>
        <w:t xml:space="preserve"> للقيام بالسحب)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على حسابه أو أي عملية أخرى، فعليه أن يقدم توكيلا و عندئذ يلزم الوكيل هو الآخر على وضع عينة من نموذج إمضائه على البطاقة السالفة الذكر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. –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يقوم البنك أيضا بفتح بطاقة ثانية و هي </w:t>
      </w:r>
      <w:proofErr w:type="gramStart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( بطاقة</w:t>
      </w:r>
      <w:proofErr w:type="gramEnd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فتح الحساب ) يقيد عليها نفس المعلومات الموجودة على بطاقة الإمضاء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.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و تحتوي بطاقة فتح الحساب شروط خاصة بنسبة الفائدة و مستوى القرض بدون ضمان و نسبة العمولات . . . </w:t>
      </w:r>
      <w:proofErr w:type="gramStart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الخ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.</w:t>
      </w:r>
      <w:proofErr w:type="gramEnd"/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–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يقوم البنك بإعداد ( كشف البيان ) المتعلق بفتح الحساب و يرسله لمصلحة </w:t>
      </w:r>
      <w:r w:rsidR="00037C59" w:rsidRPr="00055CEC">
        <w:rPr>
          <w:rFonts w:ascii="Traditional Arabic" w:hAnsi="Traditional Arabic" w:cs="Traditional Arabic"/>
          <w:b/>
          <w:bCs/>
          <w:sz w:val="40"/>
          <w:szCs w:val="40"/>
          <w:rtl/>
        </w:rPr>
        <w:t>الضرائب المباشرة</w:t>
      </w:r>
      <w:r w:rsidR="00037C59" w:rsidRPr="00055CEC">
        <w:rPr>
          <w:rFonts w:ascii="Traditional Arabic" w:hAnsi="Traditional Arabic" w:cs="Traditional Arabic"/>
          <w:b/>
          <w:bCs/>
          <w:sz w:val="40"/>
          <w:szCs w:val="40"/>
        </w:rPr>
        <w:t>.</w:t>
      </w:r>
      <w:r w:rsidR="009D0013" w:rsidRPr="009D0013">
        <w:rPr>
          <w:rFonts w:ascii="Traditional Arabic" w:hAnsi="Traditional Arabic" w:cs="Traditional Arabic" w:hint="cs"/>
          <w:sz w:val="40"/>
          <w:szCs w:val="40"/>
          <w:rtl/>
        </w:rPr>
        <w:t xml:space="preserve">إمضاء الطرفين لعقد او </w:t>
      </w:r>
      <w:proofErr w:type="spellStart"/>
      <w:r w:rsidR="009D0013" w:rsidRPr="009D0013">
        <w:rPr>
          <w:rFonts w:ascii="Traditional Arabic" w:hAnsi="Traditional Arabic" w:cs="Traditional Arabic" w:hint="cs"/>
          <w:sz w:val="40"/>
          <w:szCs w:val="40"/>
          <w:rtl/>
        </w:rPr>
        <w:t>إتفاقية</w:t>
      </w:r>
      <w:proofErr w:type="spellEnd"/>
      <w:r w:rsidR="009D0013" w:rsidRPr="009D0013">
        <w:rPr>
          <w:rFonts w:ascii="Traditional Arabic" w:hAnsi="Traditional Arabic" w:cs="Traditional Arabic" w:hint="cs"/>
          <w:sz w:val="40"/>
          <w:szCs w:val="40"/>
          <w:rtl/>
        </w:rPr>
        <w:t xml:space="preserve"> الحساب</w:t>
      </w:r>
      <w:r w:rsidR="009D001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37C59" w:rsidRPr="00055CEC">
        <w:rPr>
          <w:rFonts w:ascii="Traditional Arabic" w:hAnsi="Traditional Arabic" w:cs="Traditional Arabic"/>
          <w:b/>
          <w:bCs/>
          <w:sz w:val="40"/>
          <w:szCs w:val="40"/>
        </w:rPr>
        <w:t xml:space="preserve"> -</w:t>
      </w:r>
      <w:r w:rsidR="00037C59" w:rsidRPr="009E649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عند </w:t>
      </w:r>
      <w:proofErr w:type="spellStart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الإنتهاء</w:t>
      </w:r>
      <w:proofErr w:type="spellEnd"/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من إجراءات فتح الحساب، يعطى لصاحب الحساب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بطاقة معلومات الحساب و رقمه، و يقوم بإجراءات طلب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 xml:space="preserve"> دفتر للشيكات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و باقي ووسائل الدفع  الأخرى</w:t>
      </w:r>
      <w:r w:rsidR="008E6F0A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8E6F0A">
        <w:rPr>
          <w:rFonts w:ascii="Traditional Arabic" w:hAnsi="Traditional Arabic" w:cs="Traditional Arabic" w:hint="cs"/>
          <w:sz w:val="40"/>
          <w:szCs w:val="40"/>
          <w:rtl/>
        </w:rPr>
        <w:t xml:space="preserve"> التي تتم بواسطتها</w:t>
      </w:r>
      <w:r w:rsidR="009D0013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037C59" w:rsidRPr="009E649E">
        <w:rPr>
          <w:rFonts w:ascii="Traditional Arabic" w:hAnsi="Traditional Arabic" w:cs="Traditional Arabic"/>
          <w:sz w:val="40"/>
          <w:szCs w:val="40"/>
          <w:rtl/>
        </w:rPr>
        <w:t>كل عمليات المسحوبات</w:t>
      </w:r>
      <w:r w:rsidR="00037C59" w:rsidRPr="00055CEC">
        <w:rPr>
          <w:rFonts w:ascii="Traditional Arabic" w:hAnsi="Traditional Arabic" w:cs="Traditional Arabic"/>
          <w:sz w:val="40"/>
          <w:szCs w:val="40"/>
        </w:rPr>
        <w:t xml:space="preserve"> </w:t>
      </w:r>
      <w:r w:rsidR="00055CEC" w:rsidRPr="00055CEC">
        <w:rPr>
          <w:rFonts w:ascii="Traditional Arabic" w:hAnsi="Traditional Arabic" w:cs="Traditional Arabic" w:hint="cs"/>
          <w:sz w:val="40"/>
          <w:szCs w:val="40"/>
          <w:rtl/>
        </w:rPr>
        <w:t xml:space="preserve">إذا كان حساب جاري، أو دفتر </w:t>
      </w:r>
      <w:proofErr w:type="spellStart"/>
      <w:r w:rsidR="00055CEC" w:rsidRPr="00055CEC">
        <w:rPr>
          <w:rFonts w:ascii="Traditional Arabic" w:hAnsi="Traditional Arabic" w:cs="Traditional Arabic" w:hint="cs"/>
          <w:sz w:val="40"/>
          <w:szCs w:val="40"/>
          <w:rtl/>
        </w:rPr>
        <w:t>الإدخار</w:t>
      </w:r>
      <w:proofErr w:type="spellEnd"/>
      <w:r w:rsidR="00055CEC" w:rsidRPr="00055CEC">
        <w:rPr>
          <w:rFonts w:ascii="Traditional Arabic" w:hAnsi="Traditional Arabic" w:cs="Traditional Arabic" w:hint="cs"/>
          <w:sz w:val="40"/>
          <w:szCs w:val="40"/>
          <w:rtl/>
        </w:rPr>
        <w:t xml:space="preserve"> إذا كان حساب توفير ، </w:t>
      </w:r>
    </w:p>
    <w:p w:rsidR="00055CEC" w:rsidRDefault="00055CEC" w:rsidP="00055CEC">
      <w:pPr>
        <w:bidi/>
        <w:spacing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أو وثيقة إثبات وديعة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إذاكان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حساب لأجل، أو قسائم السندات إذا كانت سندات إقراض، أو شهادات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إيداع.</w:t>
      </w:r>
      <w:proofErr w:type="gramStart"/>
      <w:r w:rsidR="00D24C8C">
        <w:rPr>
          <w:rFonts w:ascii="Traditional Arabic" w:hAnsi="Traditional Arabic" w:cs="Traditional Arabic" w:hint="cs"/>
          <w:sz w:val="40"/>
          <w:szCs w:val="40"/>
          <w:rtl/>
        </w:rPr>
        <w:t>و</w:t>
      </w:r>
      <w:proofErr w:type="spellEnd"/>
      <w:r w:rsidR="00D24C8C">
        <w:rPr>
          <w:rFonts w:ascii="Traditional Arabic" w:hAnsi="Traditional Arabic" w:cs="Traditional Arabic" w:hint="cs"/>
          <w:sz w:val="40"/>
          <w:szCs w:val="40"/>
          <w:rtl/>
        </w:rPr>
        <w:t xml:space="preserve"> هذه</w:t>
      </w:r>
      <w:proofErr w:type="gramEnd"/>
      <w:r w:rsidR="00D24C8C">
        <w:rPr>
          <w:rFonts w:ascii="Traditional Arabic" w:hAnsi="Traditional Arabic" w:cs="Traditional Arabic" w:hint="cs"/>
          <w:sz w:val="40"/>
          <w:szCs w:val="40"/>
          <w:rtl/>
        </w:rPr>
        <w:t xml:space="preserve"> الوثائق الثبوتية اللازمة التي تحفظ حق صاحب الحساب في السحب لاحقا.</w:t>
      </w:r>
    </w:p>
    <w:p w:rsidR="009D0013" w:rsidRDefault="003F7161" w:rsidP="009D0013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716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إجراءات تسيير الحسابات البنكية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3F7161" w:rsidRDefault="003F7161" w:rsidP="003F7161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 w:rsidRPr="003F7161">
        <w:rPr>
          <w:rFonts w:ascii="Traditional Arabic" w:hAnsi="Traditional Arabic" w:cs="Traditional Arabic" w:hint="cs"/>
          <w:sz w:val="40"/>
          <w:szCs w:val="40"/>
          <w:rtl/>
        </w:rPr>
        <w:t xml:space="preserve"> إن فتح الحساب البنك ينجر عنه حقوق لصاحب الحساب و </w:t>
      </w:r>
      <w:proofErr w:type="spellStart"/>
      <w:r w:rsidRPr="003F7161">
        <w:rPr>
          <w:rFonts w:ascii="Traditional Arabic" w:hAnsi="Traditional Arabic" w:cs="Traditional Arabic" w:hint="cs"/>
          <w:sz w:val="40"/>
          <w:szCs w:val="40"/>
          <w:rtl/>
        </w:rPr>
        <w:t>إلتزامات</w:t>
      </w:r>
      <w:proofErr w:type="spellEnd"/>
      <w:r w:rsidRPr="003F7161">
        <w:rPr>
          <w:rFonts w:ascii="Traditional Arabic" w:hAnsi="Traditional Arabic" w:cs="Traditional Arabic" w:hint="cs"/>
          <w:sz w:val="40"/>
          <w:szCs w:val="40"/>
          <w:rtl/>
        </w:rPr>
        <w:t xml:space="preserve"> من طرف </w:t>
      </w:r>
      <w:proofErr w:type="gramStart"/>
      <w:r w:rsidRPr="003F7161">
        <w:rPr>
          <w:rFonts w:ascii="Traditional Arabic" w:hAnsi="Traditional Arabic" w:cs="Traditional Arabic" w:hint="cs"/>
          <w:sz w:val="40"/>
          <w:szCs w:val="40"/>
          <w:rtl/>
        </w:rPr>
        <w:t xml:space="preserve">البنك </w:t>
      </w:r>
      <w:r w:rsidR="005E18D6">
        <w:rPr>
          <w:rFonts w:ascii="Traditional Arabic" w:hAnsi="Traditional Arabic" w:cs="Traditional Arabic" w:hint="cs"/>
          <w:sz w:val="40"/>
          <w:szCs w:val="40"/>
          <w:rtl/>
        </w:rPr>
        <w:t>:</w:t>
      </w:r>
      <w:proofErr w:type="gramEnd"/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- إيداع الأموال</w:t>
      </w:r>
    </w:p>
    <w:p w:rsidR="005E18D6" w:rsidRDefault="005E18D6" w:rsidP="00666DF3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- عمليات </w:t>
      </w:r>
      <w:proofErr w:type="spellStart"/>
      <w:r w:rsidR="00666DF3">
        <w:rPr>
          <w:rFonts w:ascii="Traditional Arabic" w:hAnsi="Traditional Arabic" w:cs="Traditional Arabic" w:hint="cs"/>
          <w:sz w:val="40"/>
          <w:szCs w:val="40"/>
          <w:rtl/>
        </w:rPr>
        <w:t>إستقبال</w:t>
      </w:r>
      <w:proofErr w:type="spellEnd"/>
      <w:r w:rsidR="00666DF3">
        <w:rPr>
          <w:rFonts w:ascii="Traditional Arabic" w:hAnsi="Traditional Arabic" w:cs="Traditional Arabic" w:hint="cs"/>
          <w:sz w:val="40"/>
          <w:szCs w:val="40"/>
          <w:rtl/>
        </w:rPr>
        <w:t xml:space="preserve"> و </w:t>
      </w:r>
      <w:r>
        <w:rPr>
          <w:rFonts w:ascii="Traditional Arabic" w:hAnsi="Traditional Arabic" w:cs="Traditional Arabic" w:hint="cs"/>
          <w:sz w:val="40"/>
          <w:szCs w:val="40"/>
          <w:rtl/>
        </w:rPr>
        <w:t>تحويل</w:t>
      </w:r>
      <w:r w:rsidR="00666DF3">
        <w:rPr>
          <w:rFonts w:ascii="Traditional Arabic" w:hAnsi="Traditional Arabic" w:cs="Traditional Arabic" w:hint="cs"/>
          <w:sz w:val="40"/>
          <w:szCs w:val="40"/>
          <w:rtl/>
        </w:rPr>
        <w:t xml:space="preserve"> الاموال</w:t>
      </w:r>
      <w:bookmarkStart w:id="0" w:name="_GoBack"/>
      <w:bookmarkEnd w:id="0"/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- سحب الأموال</w:t>
      </w:r>
      <w:r w:rsidR="00666DF3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-تحصيل الشيكات</w:t>
      </w:r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-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الإطلاع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على الرصيد</w:t>
      </w:r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- الحصول على كشف الحساب</w:t>
      </w:r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- تبرير العمليات الدائنة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</w:rPr>
        <w:t>و المدينة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عند الطلب</w:t>
      </w:r>
    </w:p>
    <w:p w:rsidR="005E18D6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- توفير وسائل الدفع المختلفة </w:t>
      </w:r>
    </w:p>
    <w:p w:rsidR="001C11F7" w:rsidRDefault="005E18D6" w:rsidP="005E18D6">
      <w:pPr>
        <w:bidi/>
        <w:spacing w:line="276" w:lineRule="auto"/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- الأولوية في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إمتيازات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الإقراض</w:t>
      </w:r>
      <w:r w:rsidR="001C11F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proofErr w:type="gramStart"/>
      <w:r w:rsidR="001C11F7">
        <w:rPr>
          <w:rFonts w:ascii="Traditional Arabic" w:hAnsi="Traditional Arabic" w:cs="Traditional Arabic" w:hint="cs"/>
          <w:sz w:val="40"/>
          <w:szCs w:val="40"/>
          <w:rtl/>
        </w:rPr>
        <w:t>و الخدمات</w:t>
      </w:r>
      <w:proofErr w:type="gramEnd"/>
      <w:r w:rsidR="001C11F7">
        <w:rPr>
          <w:rFonts w:ascii="Traditional Arabic" w:hAnsi="Traditional Arabic" w:cs="Traditional Arabic" w:hint="cs"/>
          <w:sz w:val="40"/>
          <w:szCs w:val="40"/>
          <w:rtl/>
        </w:rPr>
        <w:t xml:space="preserve"> الأخرى</w:t>
      </w:r>
    </w:p>
    <w:p w:rsidR="005E18D6" w:rsidRPr="001C11F7" w:rsidRDefault="001C11F7" w:rsidP="001C11F7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1C11F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ملاحظة: أغلبية الخدمات السابقة بمقابل مادي  </w:t>
      </w:r>
      <w:r w:rsidR="005E18D6" w:rsidRPr="001C11F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sectPr w:rsidR="005E18D6" w:rsidRPr="001C11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28" w:rsidRDefault="001F1028" w:rsidP="00D24C8C">
      <w:pPr>
        <w:spacing w:after="0" w:line="240" w:lineRule="auto"/>
      </w:pPr>
      <w:r>
        <w:separator/>
      </w:r>
    </w:p>
  </w:endnote>
  <w:endnote w:type="continuationSeparator" w:id="0">
    <w:p w:rsidR="001F1028" w:rsidRDefault="001F1028" w:rsidP="00D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506345"/>
      <w:docPartObj>
        <w:docPartGallery w:val="Page Numbers (Bottom of Page)"/>
        <w:docPartUnique/>
      </w:docPartObj>
    </w:sdtPr>
    <w:sdtEndPr/>
    <w:sdtContent>
      <w:p w:rsidR="00D24C8C" w:rsidRDefault="00D24C8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DF3">
          <w:rPr>
            <w:noProof/>
          </w:rPr>
          <w:t>2</w:t>
        </w:r>
        <w:r>
          <w:fldChar w:fldCharType="end"/>
        </w:r>
      </w:p>
    </w:sdtContent>
  </w:sdt>
  <w:p w:rsidR="00D24C8C" w:rsidRDefault="00D24C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28" w:rsidRDefault="001F1028" w:rsidP="00D24C8C">
      <w:pPr>
        <w:spacing w:after="0" w:line="240" w:lineRule="auto"/>
      </w:pPr>
      <w:r>
        <w:separator/>
      </w:r>
    </w:p>
  </w:footnote>
  <w:footnote w:type="continuationSeparator" w:id="0">
    <w:p w:rsidR="001F1028" w:rsidRDefault="001F1028" w:rsidP="00D2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02"/>
    <w:rsid w:val="00037C59"/>
    <w:rsid w:val="00055CEC"/>
    <w:rsid w:val="001C11F7"/>
    <w:rsid w:val="001F1028"/>
    <w:rsid w:val="002E33D7"/>
    <w:rsid w:val="003806C0"/>
    <w:rsid w:val="003F7161"/>
    <w:rsid w:val="005E18D6"/>
    <w:rsid w:val="00666DF3"/>
    <w:rsid w:val="007A0DFC"/>
    <w:rsid w:val="008D6DB6"/>
    <w:rsid w:val="008E6F0A"/>
    <w:rsid w:val="009D0013"/>
    <w:rsid w:val="009E649E"/>
    <w:rsid w:val="00A25AA6"/>
    <w:rsid w:val="00A53B02"/>
    <w:rsid w:val="00D24C8C"/>
    <w:rsid w:val="00D569B5"/>
    <w:rsid w:val="00E048FA"/>
    <w:rsid w:val="00F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A953-1AC7-4AE9-8063-F7261A3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C8C"/>
  </w:style>
  <w:style w:type="paragraph" w:styleId="Pieddepage">
    <w:name w:val="footer"/>
    <w:basedOn w:val="Normal"/>
    <w:link w:val="PieddepageCar"/>
    <w:uiPriority w:val="99"/>
    <w:unhideWhenUsed/>
    <w:rsid w:val="00D2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2024-10-20T20:04:00Z</cp:lastPrinted>
  <dcterms:created xsi:type="dcterms:W3CDTF">2024-10-20T19:15:00Z</dcterms:created>
  <dcterms:modified xsi:type="dcterms:W3CDTF">2025-10-28T21:57:00Z</dcterms:modified>
</cp:coreProperties>
</file>