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E4" w:rsidRDefault="007C2EE4" w:rsidP="00EA7ED7">
      <w:pPr>
        <w:jc w:val="center"/>
        <w:rPr>
          <w:rFonts w:ascii="Traditional Arabic" w:hAnsi="Traditional Arabic" w:cs="Traditional Arabic"/>
          <w:bCs/>
          <w:sz w:val="144"/>
          <w:szCs w:val="144"/>
          <w:u w:val="single"/>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p>
    <w:p w:rsidR="0000571F" w:rsidRPr="007C2EE4" w:rsidRDefault="0001254F" w:rsidP="007F1D15">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r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المحا</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ضرة ال</w:t>
      </w:r>
      <w:r w:rsidR="007F1D15">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خامسة</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w:t>
      </w:r>
      <w:r w:rsidR="008E077B">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تحفيز</w:t>
      </w:r>
      <w:r w:rsidR="007F1D15">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القوى البيعية</w:t>
      </w: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8E077B" w:rsidRDefault="008E077B" w:rsidP="00B70487">
      <w:pPr>
        <w:jc w:val="both"/>
        <w:rPr>
          <w:rFonts w:ascii="Traditional Arabic" w:hAnsi="Traditional Arabic" w:cs="Traditional Arabic"/>
          <w:b/>
          <w:bCs/>
          <w:sz w:val="32"/>
          <w:szCs w:val="32"/>
          <w:rtl/>
          <w:lang w:bidi="ar-DZ"/>
        </w:rPr>
      </w:pPr>
    </w:p>
    <w:p w:rsidR="008E077B" w:rsidRDefault="008E077B" w:rsidP="00B70487">
      <w:pPr>
        <w:jc w:val="both"/>
        <w:rPr>
          <w:rFonts w:ascii="Traditional Arabic" w:hAnsi="Traditional Arabic" w:cs="Traditional Arabic"/>
          <w:b/>
          <w:bCs/>
          <w:sz w:val="32"/>
          <w:szCs w:val="32"/>
          <w:rtl/>
          <w:lang w:bidi="ar-DZ"/>
        </w:rPr>
      </w:pPr>
    </w:p>
    <w:p w:rsidR="008E077B" w:rsidRDefault="008E077B" w:rsidP="00B70487">
      <w:pPr>
        <w:jc w:val="both"/>
        <w:rPr>
          <w:rFonts w:ascii="Traditional Arabic" w:hAnsi="Traditional Arabic" w:cs="Traditional Arabic"/>
          <w:b/>
          <w:bCs/>
          <w:sz w:val="32"/>
          <w:szCs w:val="32"/>
          <w:rtl/>
          <w:lang w:bidi="ar-DZ"/>
        </w:rPr>
      </w:pPr>
    </w:p>
    <w:p w:rsidR="008E077B" w:rsidRDefault="008E077B" w:rsidP="00B70487">
      <w:pPr>
        <w:jc w:val="both"/>
        <w:rPr>
          <w:rFonts w:ascii="Traditional Arabic" w:hAnsi="Traditional Arabic" w:cs="Traditional Arabic"/>
          <w:b/>
          <w:bCs/>
          <w:sz w:val="32"/>
          <w:szCs w:val="32"/>
          <w:rtl/>
          <w:lang w:bidi="ar-DZ"/>
        </w:rPr>
      </w:pPr>
    </w:p>
    <w:p w:rsidR="00927763" w:rsidRPr="00927763" w:rsidRDefault="00927763" w:rsidP="00927763">
      <w:pPr>
        <w:jc w:val="both"/>
        <w:rPr>
          <w:rFonts w:ascii="Traditional Arabic" w:hAnsi="Traditional Arabic" w:cs="Traditional Arabic"/>
          <w:b/>
          <w:bCs/>
          <w:sz w:val="32"/>
          <w:szCs w:val="32"/>
          <w:lang w:bidi="ar-DZ"/>
        </w:rPr>
      </w:pPr>
      <w:r w:rsidRPr="00927763">
        <w:rPr>
          <w:rFonts w:ascii="Traditional Arabic" w:hAnsi="Traditional Arabic" w:cs="Traditional Arabic"/>
          <w:b/>
          <w:bCs/>
          <w:sz w:val="32"/>
          <w:szCs w:val="32"/>
          <w:rtl/>
        </w:rPr>
        <w:lastRenderedPageBreak/>
        <w:t>اولا/ تعريف التحفيز والحاجة إليه</w:t>
      </w:r>
    </w:p>
    <w:p w:rsidR="00927763" w:rsidRPr="00927763" w:rsidRDefault="00927763" w:rsidP="00927763">
      <w:p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highlight w:val="yellow"/>
          <w:rtl/>
        </w:rPr>
        <w:t>الحوافز هي أدوات ووسائل يتم بموجبها إشباع حاجات مندوبي البيع عن طريق عمل ونشاط في عملية تحفيز تبدأ بإثارة وتحريك حاجه لدى رجل البيع التي تؤدي فيما بعد الى سلوك يقوم به بقصد إشباع حاجاته وهناك ثلاث شروط يجب توفرها قبل إشباع الحاجة والتي تؤدي الى تعظيم الأداء</w:t>
      </w:r>
    </w:p>
    <w:p w:rsidR="00927763" w:rsidRPr="00927763" w:rsidRDefault="00927763" w:rsidP="00927763">
      <w:pPr>
        <w:jc w:val="both"/>
        <w:rPr>
          <w:rFonts w:ascii="Traditional Arabic" w:hAnsi="Traditional Arabic" w:cs="Traditional Arabic"/>
          <w:b/>
          <w:bCs/>
          <w:sz w:val="32"/>
          <w:szCs w:val="32"/>
          <w:lang w:bidi="ar-DZ"/>
        </w:rPr>
      </w:pPr>
      <w:r w:rsidRPr="00927763">
        <w:rPr>
          <w:rFonts w:ascii="Traditional Arabic" w:hAnsi="Traditional Arabic" w:cs="Traditional Arabic"/>
          <w:b/>
          <w:bCs/>
          <w:sz w:val="32"/>
          <w:szCs w:val="32"/>
          <w:rtl/>
        </w:rPr>
        <w:t>ثانيا</w:t>
      </w:r>
      <w:r w:rsidRPr="00927763">
        <w:rPr>
          <w:rFonts w:ascii="Traditional Arabic" w:hAnsi="Traditional Arabic" w:cs="Traditional Arabic"/>
          <w:b/>
          <w:bCs/>
          <w:sz w:val="32"/>
          <w:szCs w:val="32"/>
          <w:lang w:bidi="ar-DZ"/>
        </w:rPr>
        <w:t xml:space="preserve">/  </w:t>
      </w:r>
      <w:r w:rsidRPr="00927763">
        <w:rPr>
          <w:rFonts w:ascii="Traditional Arabic" w:hAnsi="Traditional Arabic" w:cs="Traditional Arabic"/>
          <w:b/>
          <w:bCs/>
          <w:sz w:val="32"/>
          <w:szCs w:val="32"/>
          <w:rtl/>
        </w:rPr>
        <w:t>أنواع الحوافز</w:t>
      </w:r>
    </w:p>
    <w:p w:rsidR="00927763" w:rsidRPr="00927763" w:rsidRDefault="00927763" w:rsidP="00927763">
      <w:p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تصنف إلى عدة أنواع هي</w:t>
      </w:r>
      <w:r w:rsidRPr="00927763">
        <w:rPr>
          <w:rFonts w:ascii="Traditional Arabic" w:hAnsi="Traditional Arabic" w:cs="Traditional Arabic"/>
          <w:sz w:val="32"/>
          <w:szCs w:val="32"/>
          <w:lang w:bidi="ar-DZ"/>
        </w:rPr>
        <w:t>:</w:t>
      </w:r>
    </w:p>
    <w:p w:rsidR="00927763" w:rsidRPr="00927763" w:rsidRDefault="00927763" w:rsidP="00927763">
      <w:p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lang w:bidi="ar-DZ"/>
        </w:rPr>
        <w:t> </w:t>
      </w:r>
      <w:r>
        <w:rPr>
          <w:rFonts w:ascii="Traditional Arabic" w:hAnsi="Traditional Arabic" w:cs="Traditional Arabic" w:hint="cs"/>
          <w:sz w:val="32"/>
          <w:szCs w:val="32"/>
          <w:rtl/>
          <w:lang w:bidi="ar-DZ"/>
        </w:rPr>
        <w:t xml:space="preserve">1- </w:t>
      </w:r>
      <w:r w:rsidRPr="00927763">
        <w:rPr>
          <w:rFonts w:ascii="Traditional Arabic" w:hAnsi="Traditional Arabic" w:cs="Traditional Arabic"/>
          <w:sz w:val="32"/>
          <w:szCs w:val="32"/>
          <w:rtl/>
        </w:rPr>
        <w:t>حوافز إيجابية حوافز سلبية</w:t>
      </w:r>
    </w:p>
    <w:p w:rsidR="00927763" w:rsidRPr="00927763" w:rsidRDefault="00927763" w:rsidP="00927763">
      <w:p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2- </w:t>
      </w:r>
      <w:r w:rsidRPr="00927763">
        <w:rPr>
          <w:rFonts w:ascii="Traditional Arabic" w:hAnsi="Traditional Arabic" w:cs="Traditional Arabic"/>
          <w:sz w:val="32"/>
          <w:szCs w:val="32"/>
          <w:lang w:bidi="ar-DZ"/>
        </w:rPr>
        <w:t> </w:t>
      </w:r>
      <w:r w:rsidRPr="00927763">
        <w:rPr>
          <w:rFonts w:ascii="Traditional Arabic" w:hAnsi="Traditional Arabic" w:cs="Traditional Arabic"/>
          <w:sz w:val="32"/>
          <w:szCs w:val="32"/>
          <w:rtl/>
        </w:rPr>
        <w:t>حوافز مادية وحوافز غير مادية</w:t>
      </w:r>
    </w:p>
    <w:p w:rsidR="00927763" w:rsidRDefault="00927763" w:rsidP="00927763">
      <w:pPr>
        <w:jc w:val="both"/>
        <w:rPr>
          <w:rFonts w:ascii="Traditional Arabic" w:hAnsi="Traditional Arabic" w:cs="Traditional Arabic"/>
          <w:sz w:val="32"/>
          <w:szCs w:val="32"/>
          <w:rtl/>
          <w:lang w:bidi="ar-DZ"/>
        </w:rPr>
      </w:pPr>
      <w:r w:rsidRPr="00927763">
        <w:rPr>
          <w:rFonts w:ascii="Traditional Arabic" w:hAnsi="Traditional Arabic" w:cs="Traditional Arabic"/>
          <w:sz w:val="32"/>
          <w:szCs w:val="32"/>
          <w:lang w:bidi="ar-DZ"/>
        </w:rPr>
        <w:t> </w:t>
      </w:r>
      <w:r>
        <w:rPr>
          <w:rFonts w:ascii="Traditional Arabic" w:hAnsi="Traditional Arabic" w:cs="Traditional Arabic" w:hint="cs"/>
          <w:sz w:val="32"/>
          <w:szCs w:val="32"/>
          <w:rtl/>
          <w:lang w:bidi="ar-DZ"/>
        </w:rPr>
        <w:t xml:space="preserve">3- </w:t>
      </w:r>
      <w:r w:rsidRPr="00927763">
        <w:rPr>
          <w:rFonts w:ascii="Traditional Arabic" w:hAnsi="Traditional Arabic" w:cs="Traditional Arabic"/>
          <w:sz w:val="32"/>
          <w:szCs w:val="32"/>
          <w:rtl/>
        </w:rPr>
        <w:t>حوافز فردية و حوافز جماعية</w:t>
      </w:r>
    </w:p>
    <w:p w:rsidR="00927763" w:rsidRPr="00927763" w:rsidRDefault="00927763" w:rsidP="00927763">
      <w:p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lang w:bidi="ar-DZ"/>
        </w:rPr>
        <w:t> </w:t>
      </w:r>
      <w:r w:rsidRPr="00927763">
        <w:rPr>
          <w:rFonts w:ascii="Traditional Arabic" w:hAnsi="Traditional Arabic" w:cs="Traditional Arabic"/>
          <w:b/>
          <w:bCs/>
          <w:sz w:val="32"/>
          <w:szCs w:val="32"/>
          <w:rtl/>
        </w:rPr>
        <w:t>ثالثا</w:t>
      </w:r>
      <w:r w:rsidRPr="00927763">
        <w:rPr>
          <w:rFonts w:ascii="Traditional Arabic" w:hAnsi="Traditional Arabic" w:cs="Traditional Arabic"/>
          <w:b/>
          <w:bCs/>
          <w:sz w:val="32"/>
          <w:szCs w:val="32"/>
          <w:lang w:bidi="ar-DZ"/>
        </w:rPr>
        <w:t xml:space="preserve">/  </w:t>
      </w:r>
      <w:r w:rsidRPr="00927763">
        <w:rPr>
          <w:rFonts w:ascii="Traditional Arabic" w:hAnsi="Traditional Arabic" w:cs="Traditional Arabic"/>
          <w:b/>
          <w:bCs/>
          <w:sz w:val="32"/>
          <w:szCs w:val="32"/>
          <w:rtl/>
        </w:rPr>
        <w:t>أهداف مكافآت وتعويض رجال البيع</w:t>
      </w:r>
      <w:r w:rsidRPr="00927763">
        <w:rPr>
          <w:rFonts w:ascii="Traditional Arabic" w:hAnsi="Traditional Arabic" w:cs="Traditional Arabic"/>
          <w:b/>
          <w:bCs/>
          <w:sz w:val="32"/>
          <w:szCs w:val="32"/>
          <w:lang w:bidi="ar-DZ"/>
        </w:rPr>
        <w:t> </w:t>
      </w:r>
    </w:p>
    <w:p w:rsidR="00927763" w:rsidRPr="00927763" w:rsidRDefault="00927763" w:rsidP="00927763">
      <w:pPr>
        <w:jc w:val="both"/>
        <w:rPr>
          <w:rFonts w:ascii="Traditional Arabic" w:hAnsi="Traditional Arabic" w:cs="Traditional Arabic"/>
          <w:sz w:val="32"/>
          <w:szCs w:val="32"/>
          <w:u w:val="single"/>
          <w:lang w:bidi="ar-DZ"/>
        </w:rPr>
      </w:pPr>
      <w:r>
        <w:rPr>
          <w:rFonts w:ascii="Traditional Arabic" w:hAnsi="Traditional Arabic" w:cs="Traditional Arabic" w:hint="cs"/>
          <w:sz w:val="32"/>
          <w:szCs w:val="32"/>
          <w:u w:val="single"/>
          <w:rtl/>
          <w:lang w:bidi="ar-DZ"/>
        </w:rPr>
        <w:t xml:space="preserve">1- </w:t>
      </w:r>
      <w:r w:rsidRPr="00927763">
        <w:rPr>
          <w:rFonts w:ascii="Traditional Arabic" w:hAnsi="Traditional Arabic" w:cs="Traditional Arabic"/>
          <w:sz w:val="32"/>
          <w:szCs w:val="32"/>
          <w:u w:val="single"/>
          <w:rtl/>
        </w:rPr>
        <w:t>من وجهه نظر رجال البيع</w:t>
      </w:r>
    </w:p>
    <w:p w:rsidR="00927763" w:rsidRPr="00927763" w:rsidRDefault="00927763" w:rsidP="00927763">
      <w:pPr>
        <w:pStyle w:val="ListParagraph"/>
        <w:numPr>
          <w:ilvl w:val="0"/>
          <w:numId w:val="6"/>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اطمئنان على الدخل وضمان الاستقرار النسبي له وزيادته مع زيادة المجهودات المبذولة</w:t>
      </w:r>
      <w:r>
        <w:rPr>
          <w:rFonts w:ascii="Traditional Arabic" w:hAnsi="Traditional Arabic" w:cs="Traditional Arabic" w:hint="cs"/>
          <w:sz w:val="32"/>
          <w:szCs w:val="32"/>
          <w:rtl/>
        </w:rPr>
        <w:t>.</w:t>
      </w:r>
    </w:p>
    <w:p w:rsidR="00927763" w:rsidRPr="00927763" w:rsidRDefault="00927763" w:rsidP="00927763">
      <w:pPr>
        <w:pStyle w:val="ListParagraph"/>
        <w:numPr>
          <w:ilvl w:val="0"/>
          <w:numId w:val="6"/>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التعويض العادل على المجهودات المبذولة مقارنة بالأرباح وأجور المندوبين في مؤسسات أخرى</w:t>
      </w:r>
      <w:r>
        <w:rPr>
          <w:rFonts w:ascii="Traditional Arabic" w:hAnsi="Traditional Arabic" w:cs="Traditional Arabic" w:hint="cs"/>
          <w:sz w:val="32"/>
          <w:szCs w:val="32"/>
          <w:rtl/>
        </w:rPr>
        <w:t>.</w:t>
      </w:r>
    </w:p>
    <w:p w:rsidR="00927763" w:rsidRPr="00927763" w:rsidRDefault="00927763" w:rsidP="00927763">
      <w:pPr>
        <w:pStyle w:val="ListParagraph"/>
        <w:numPr>
          <w:ilvl w:val="0"/>
          <w:numId w:val="6"/>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الحصول على الاستقرار النفسي الذي ينعكس على الأداء</w:t>
      </w:r>
      <w:r>
        <w:rPr>
          <w:rFonts w:ascii="Traditional Arabic" w:hAnsi="Traditional Arabic" w:cs="Traditional Arabic" w:hint="cs"/>
          <w:sz w:val="32"/>
          <w:szCs w:val="32"/>
          <w:rtl/>
        </w:rPr>
        <w:t>.</w:t>
      </w:r>
    </w:p>
    <w:p w:rsidR="00927763" w:rsidRPr="00927763" w:rsidRDefault="00927763" w:rsidP="00927763">
      <w:pPr>
        <w:jc w:val="both"/>
        <w:rPr>
          <w:rFonts w:ascii="Traditional Arabic" w:hAnsi="Traditional Arabic" w:cs="Traditional Arabic"/>
          <w:sz w:val="32"/>
          <w:szCs w:val="32"/>
          <w:u w:val="single"/>
          <w:lang w:bidi="ar-DZ"/>
        </w:rPr>
      </w:pPr>
      <w:r w:rsidRPr="00927763">
        <w:rPr>
          <w:rFonts w:ascii="Traditional Arabic" w:hAnsi="Traditional Arabic" w:cs="Traditional Arabic"/>
          <w:sz w:val="32"/>
          <w:szCs w:val="32"/>
          <w:lang w:bidi="ar-DZ"/>
        </w:rPr>
        <w:t> </w:t>
      </w:r>
      <w:r w:rsidRPr="00927763">
        <w:rPr>
          <w:rFonts w:ascii="Traditional Arabic" w:hAnsi="Traditional Arabic" w:cs="Traditional Arabic" w:hint="cs"/>
          <w:sz w:val="32"/>
          <w:szCs w:val="32"/>
          <w:u w:val="single"/>
          <w:rtl/>
          <w:lang w:bidi="ar-DZ"/>
        </w:rPr>
        <w:t xml:space="preserve">2- </w:t>
      </w:r>
      <w:r w:rsidRPr="00927763">
        <w:rPr>
          <w:rFonts w:ascii="Traditional Arabic" w:hAnsi="Traditional Arabic" w:cs="Traditional Arabic"/>
          <w:sz w:val="32"/>
          <w:szCs w:val="32"/>
          <w:u w:val="single"/>
          <w:rtl/>
        </w:rPr>
        <w:t>من وجهة نظر المؤسسة</w:t>
      </w:r>
    </w:p>
    <w:p w:rsidR="00927763" w:rsidRPr="00927763" w:rsidRDefault="00927763" w:rsidP="00927763">
      <w:pPr>
        <w:pStyle w:val="ListParagraph"/>
        <w:numPr>
          <w:ilvl w:val="0"/>
          <w:numId w:val="7"/>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تحفيز المندوبين لبذل اقصى جهد في أداء مهامهم</w:t>
      </w:r>
      <w:r>
        <w:rPr>
          <w:rFonts w:ascii="Traditional Arabic" w:hAnsi="Traditional Arabic" w:cs="Traditional Arabic" w:hint="cs"/>
          <w:sz w:val="32"/>
          <w:szCs w:val="32"/>
          <w:rtl/>
        </w:rPr>
        <w:t>.</w:t>
      </w:r>
    </w:p>
    <w:p w:rsidR="00927763" w:rsidRPr="00927763" w:rsidRDefault="00927763" w:rsidP="00927763">
      <w:pPr>
        <w:pStyle w:val="ListParagraph"/>
        <w:numPr>
          <w:ilvl w:val="0"/>
          <w:numId w:val="7"/>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السيطرة على نشاطات المندوبين وتوجيههم بالشكل الذي يحقق الأهداف البيعية</w:t>
      </w:r>
      <w:r>
        <w:rPr>
          <w:rFonts w:ascii="Traditional Arabic" w:hAnsi="Traditional Arabic" w:cs="Traditional Arabic" w:hint="cs"/>
          <w:sz w:val="32"/>
          <w:szCs w:val="32"/>
          <w:rtl/>
        </w:rPr>
        <w:t>.</w:t>
      </w:r>
    </w:p>
    <w:p w:rsidR="00927763" w:rsidRPr="00927763" w:rsidRDefault="00927763" w:rsidP="00927763">
      <w:pPr>
        <w:pStyle w:val="ListParagraph"/>
        <w:numPr>
          <w:ilvl w:val="0"/>
          <w:numId w:val="7"/>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التأكد من حسن معاملة الزبائن</w:t>
      </w:r>
      <w:r>
        <w:rPr>
          <w:rFonts w:ascii="Traditional Arabic" w:hAnsi="Traditional Arabic" w:cs="Traditional Arabic" w:hint="cs"/>
          <w:sz w:val="32"/>
          <w:szCs w:val="32"/>
          <w:rtl/>
        </w:rPr>
        <w:t>.</w:t>
      </w:r>
    </w:p>
    <w:p w:rsidR="00927763" w:rsidRPr="00927763" w:rsidRDefault="00927763" w:rsidP="00927763">
      <w:pPr>
        <w:pStyle w:val="ListParagraph"/>
        <w:numPr>
          <w:ilvl w:val="0"/>
          <w:numId w:val="7"/>
        </w:numPr>
        <w:jc w:val="both"/>
        <w:rPr>
          <w:rFonts w:ascii="Traditional Arabic" w:hAnsi="Traditional Arabic" w:cs="Traditional Arabic"/>
          <w:sz w:val="32"/>
          <w:szCs w:val="32"/>
          <w:lang w:bidi="ar-DZ"/>
        </w:rPr>
      </w:pPr>
      <w:r w:rsidRPr="00927763">
        <w:rPr>
          <w:rFonts w:ascii="Traditional Arabic" w:hAnsi="Traditional Arabic" w:cs="Traditional Arabic"/>
          <w:sz w:val="32"/>
          <w:szCs w:val="32"/>
          <w:rtl/>
        </w:rPr>
        <w:t>جذب والاحتفاظ بالكفاءات العالية من رجال البيع</w:t>
      </w:r>
      <w:r>
        <w:rPr>
          <w:rFonts w:ascii="Traditional Arabic" w:hAnsi="Traditional Arabic" w:cs="Traditional Arabic" w:hint="cs"/>
          <w:sz w:val="32"/>
          <w:szCs w:val="32"/>
          <w:rtl/>
        </w:rPr>
        <w:t>.</w:t>
      </w:r>
    </w:p>
    <w:p w:rsidR="00927763" w:rsidRPr="00927763" w:rsidRDefault="00927763" w:rsidP="00927763">
      <w:pPr>
        <w:jc w:val="both"/>
        <w:rPr>
          <w:rFonts w:ascii="Traditional Arabic" w:hAnsi="Traditional Arabic" w:cs="Traditional Arabic"/>
          <w:b/>
          <w:bCs/>
          <w:sz w:val="32"/>
          <w:szCs w:val="32"/>
          <w:lang w:bidi="ar-DZ"/>
        </w:rPr>
      </w:pPr>
      <w:r w:rsidRPr="00927763">
        <w:rPr>
          <w:rFonts w:ascii="Traditional Arabic" w:hAnsi="Traditional Arabic" w:cs="Traditional Arabic"/>
          <w:sz w:val="32"/>
          <w:szCs w:val="32"/>
          <w:lang w:bidi="ar-DZ"/>
        </w:rPr>
        <w:t> </w:t>
      </w:r>
      <w:r w:rsidRPr="00927763">
        <w:rPr>
          <w:rFonts w:ascii="Traditional Arabic" w:hAnsi="Traditional Arabic" w:cs="Traditional Arabic"/>
          <w:b/>
          <w:bCs/>
          <w:sz w:val="32"/>
          <w:szCs w:val="32"/>
          <w:rtl/>
        </w:rPr>
        <w:t>رابعا</w:t>
      </w:r>
      <w:r w:rsidRPr="00927763">
        <w:rPr>
          <w:rFonts w:ascii="Traditional Arabic" w:hAnsi="Traditional Arabic" w:cs="Traditional Arabic"/>
          <w:b/>
          <w:bCs/>
          <w:sz w:val="32"/>
          <w:szCs w:val="32"/>
          <w:lang w:bidi="ar-DZ"/>
        </w:rPr>
        <w:t xml:space="preserve">/  </w:t>
      </w:r>
      <w:r w:rsidRPr="00927763">
        <w:rPr>
          <w:rFonts w:ascii="Traditional Arabic" w:hAnsi="Traditional Arabic" w:cs="Traditional Arabic"/>
          <w:b/>
          <w:bCs/>
          <w:sz w:val="32"/>
          <w:szCs w:val="32"/>
          <w:rtl/>
        </w:rPr>
        <w:t>الطرق الرئيسية لمكافأة مندوبي البيع</w:t>
      </w:r>
    </w:p>
    <w:p w:rsidR="00927763" w:rsidRPr="00927763" w:rsidRDefault="00927763" w:rsidP="00927763">
      <w:pPr>
        <w:jc w:val="both"/>
        <w:rPr>
          <w:rFonts w:ascii="Traditional Arabic" w:hAnsi="Traditional Arabic" w:cs="Traditional Arabic"/>
          <w:sz w:val="32"/>
          <w:szCs w:val="32"/>
        </w:rPr>
      </w:pPr>
      <w:r w:rsidRPr="00927763">
        <w:rPr>
          <w:rFonts w:ascii="Traditional Arabic" w:hAnsi="Traditional Arabic" w:cs="Traditional Arabic" w:hint="cs"/>
          <w:sz w:val="32"/>
          <w:szCs w:val="32"/>
          <w:u w:val="single"/>
          <w:rtl/>
          <w:lang w:bidi="ar-DZ"/>
        </w:rPr>
        <w:t>1-</w:t>
      </w:r>
      <w:r w:rsidRPr="00927763">
        <w:rPr>
          <w:rFonts w:ascii="Traditional Arabic" w:hAnsi="Traditional Arabic" w:cs="Traditional Arabic"/>
          <w:sz w:val="32"/>
          <w:szCs w:val="32"/>
          <w:u w:val="single"/>
          <w:lang w:bidi="ar-DZ"/>
        </w:rPr>
        <w:t xml:space="preserve">  </w:t>
      </w:r>
      <w:r w:rsidRPr="00927763">
        <w:rPr>
          <w:rFonts w:ascii="Traditional Arabic" w:hAnsi="Traditional Arabic" w:cs="Traditional Arabic"/>
          <w:sz w:val="32"/>
          <w:szCs w:val="32"/>
          <w:u w:val="single"/>
          <w:rtl/>
        </w:rPr>
        <w:t>مكافأة مالية</w:t>
      </w:r>
      <w:r w:rsidRPr="00927763">
        <w:rPr>
          <w:rFonts w:ascii="Traditional Arabic" w:hAnsi="Traditional Arabic" w:cs="Traditional Arabic"/>
          <w:sz w:val="32"/>
          <w:szCs w:val="32"/>
          <w:u w:val="single"/>
          <w:lang w:bidi="ar-DZ"/>
        </w:rPr>
        <w:t xml:space="preserve"> :</w:t>
      </w:r>
      <w:r w:rsidRPr="00927763">
        <w:rPr>
          <w:rFonts w:ascii="Traditional Arabic" w:hAnsi="Traditional Arabic" w:cs="Traditional Arabic"/>
          <w:sz w:val="32"/>
          <w:szCs w:val="32"/>
          <w:lang w:bidi="ar-DZ"/>
        </w:rPr>
        <w:t xml:space="preserve"> </w:t>
      </w:r>
      <w:r w:rsidRPr="00927763">
        <w:rPr>
          <w:rFonts w:ascii="Traditional Arabic" w:hAnsi="Traditional Arabic" w:cs="Traditional Arabic"/>
          <w:sz w:val="32"/>
          <w:szCs w:val="32"/>
          <w:rtl/>
        </w:rPr>
        <w:t>تتنوع الى طريقه المرتب الثابت وطريقة العمولة وطريقة المرتب الثابت مع العموله</w:t>
      </w:r>
      <w:r>
        <w:rPr>
          <w:rFonts w:ascii="Traditional Arabic" w:hAnsi="Traditional Arabic" w:cs="Traditional Arabic" w:hint="cs"/>
          <w:sz w:val="32"/>
          <w:szCs w:val="32"/>
          <w:rtl/>
        </w:rPr>
        <w:t>.</w:t>
      </w:r>
    </w:p>
    <w:p w:rsidR="00927763" w:rsidRPr="00927763" w:rsidRDefault="00927763" w:rsidP="00927763">
      <w:pPr>
        <w:jc w:val="both"/>
        <w:rPr>
          <w:rFonts w:ascii="Traditional Arabic" w:hAnsi="Traditional Arabic" w:cs="Traditional Arabic"/>
          <w:sz w:val="32"/>
          <w:szCs w:val="32"/>
          <w:lang w:bidi="ar-DZ"/>
        </w:rPr>
      </w:pPr>
      <w:r w:rsidRPr="00927763">
        <w:rPr>
          <w:rFonts w:ascii="Traditional Arabic" w:hAnsi="Traditional Arabic" w:cs="Traditional Arabic" w:hint="cs"/>
          <w:sz w:val="32"/>
          <w:szCs w:val="32"/>
          <w:u w:val="single"/>
          <w:rtl/>
          <w:lang w:bidi="ar-DZ"/>
        </w:rPr>
        <w:t>2-</w:t>
      </w:r>
      <w:r w:rsidRPr="00927763">
        <w:rPr>
          <w:rFonts w:ascii="Traditional Arabic" w:hAnsi="Traditional Arabic" w:cs="Traditional Arabic"/>
          <w:sz w:val="32"/>
          <w:szCs w:val="32"/>
          <w:u w:val="single"/>
          <w:lang w:bidi="ar-DZ"/>
        </w:rPr>
        <w:t xml:space="preserve">  </w:t>
      </w:r>
      <w:r w:rsidRPr="00927763">
        <w:rPr>
          <w:rFonts w:ascii="Traditional Arabic" w:hAnsi="Traditional Arabic" w:cs="Traditional Arabic"/>
          <w:sz w:val="32"/>
          <w:szCs w:val="32"/>
          <w:u w:val="single"/>
          <w:rtl/>
        </w:rPr>
        <w:t xml:space="preserve">مكافآت غير مالية </w:t>
      </w:r>
      <w:r>
        <w:rPr>
          <w:rFonts w:ascii="Traditional Arabic" w:hAnsi="Traditional Arabic" w:cs="Traditional Arabic"/>
          <w:sz w:val="32"/>
          <w:szCs w:val="32"/>
          <w:rtl/>
        </w:rPr>
        <w:t xml:space="preserve">تأخذ عدة أشكال </w:t>
      </w:r>
      <w:r>
        <w:rPr>
          <w:rFonts w:ascii="Traditional Arabic" w:hAnsi="Traditional Arabic" w:cs="Traditional Arabic" w:hint="cs"/>
          <w:sz w:val="32"/>
          <w:szCs w:val="32"/>
          <w:rtl/>
        </w:rPr>
        <w:t>ك</w:t>
      </w:r>
      <w:r w:rsidRPr="00927763">
        <w:rPr>
          <w:rFonts w:ascii="Traditional Arabic" w:hAnsi="Traditional Arabic" w:cs="Traditional Arabic"/>
          <w:sz w:val="32"/>
          <w:szCs w:val="32"/>
          <w:rtl/>
        </w:rPr>
        <w:t>توجيه رسالة شكر وتقدير</w:t>
      </w:r>
      <w:r>
        <w:rPr>
          <w:rFonts w:ascii="Traditional Arabic" w:hAnsi="Traditional Arabic" w:cs="Traditional Arabic" w:hint="cs"/>
          <w:sz w:val="32"/>
          <w:szCs w:val="32"/>
          <w:rtl/>
        </w:rPr>
        <w:t>.</w:t>
      </w:r>
    </w:p>
    <w:p w:rsidR="00EA7ED7" w:rsidRPr="00927763" w:rsidRDefault="00927763" w:rsidP="00927763">
      <w:pPr>
        <w:jc w:val="both"/>
        <w:rPr>
          <w:rFonts w:ascii="Traditional Arabic" w:hAnsi="Traditional Arabic" w:cs="Traditional Arabic" w:hint="cs"/>
          <w:sz w:val="32"/>
          <w:szCs w:val="32"/>
          <w:rtl/>
          <w:lang w:bidi="ar-DZ"/>
        </w:rPr>
      </w:pPr>
      <w:r w:rsidRPr="00927763">
        <w:rPr>
          <w:rFonts w:ascii="Traditional Arabic" w:hAnsi="Traditional Arabic" w:cs="Traditional Arabic" w:hint="cs"/>
          <w:sz w:val="32"/>
          <w:szCs w:val="32"/>
          <w:u w:val="single"/>
          <w:rtl/>
          <w:lang w:bidi="ar-DZ"/>
        </w:rPr>
        <w:t xml:space="preserve">3- </w:t>
      </w:r>
      <w:r w:rsidRPr="00927763">
        <w:rPr>
          <w:rFonts w:ascii="Traditional Arabic" w:hAnsi="Traditional Arabic" w:cs="Traditional Arabic"/>
          <w:sz w:val="32"/>
          <w:szCs w:val="32"/>
          <w:u w:val="single"/>
          <w:rtl/>
        </w:rPr>
        <w:t>طرق مكافآت أخرى</w:t>
      </w:r>
      <w:r w:rsidRPr="00927763">
        <w:rPr>
          <w:rFonts w:ascii="Traditional Arabic" w:hAnsi="Traditional Arabic" w:cs="Traditional Arabic"/>
          <w:sz w:val="32"/>
          <w:szCs w:val="32"/>
          <w:rtl/>
        </w:rPr>
        <w:t xml:space="preserve"> تتمثل في الطرق غير التقليدية في التحفيز تغطية</w:t>
      </w:r>
      <w:r w:rsidRPr="00927763">
        <w:rPr>
          <w:rFonts w:ascii="Traditional Arabic" w:hAnsi="Traditional Arabic" w:cs="Traditional Arabic"/>
          <w:sz w:val="32"/>
          <w:szCs w:val="32"/>
          <w:lang w:bidi="ar-DZ"/>
        </w:rPr>
        <w:t xml:space="preserve">  </w:t>
      </w:r>
      <w:r w:rsidRPr="00927763">
        <w:rPr>
          <w:rFonts w:ascii="Traditional Arabic" w:hAnsi="Traditional Arabic" w:cs="Traditional Arabic"/>
          <w:sz w:val="32"/>
          <w:szCs w:val="32"/>
          <w:rtl/>
        </w:rPr>
        <w:t>بعض نفقات رجل البيع مثل مجانية العلاج</w:t>
      </w:r>
      <w:r>
        <w:rPr>
          <w:rFonts w:ascii="Traditional Arabic" w:hAnsi="Traditional Arabic" w:cs="Traditional Arabic" w:hint="cs"/>
          <w:sz w:val="32"/>
          <w:szCs w:val="32"/>
          <w:rtl/>
        </w:rPr>
        <w:t>.</w:t>
      </w:r>
      <w:bookmarkStart w:id="0" w:name="_GoBack"/>
      <w:bookmarkEnd w:id="0"/>
    </w:p>
    <w:sectPr w:rsidR="00EA7ED7" w:rsidRPr="00927763" w:rsidSect="00EA7ED7">
      <w:footerReference w:type="default" r:id="rId8"/>
      <w:pgSz w:w="11906" w:h="16838"/>
      <w:pgMar w:top="1134" w:right="1134" w:bottom="1134" w:left="1134"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C18" w:rsidRDefault="00EE0C18" w:rsidP="007C2EE4">
      <w:pPr>
        <w:spacing w:after="0" w:line="240" w:lineRule="auto"/>
      </w:pPr>
      <w:r>
        <w:separator/>
      </w:r>
    </w:p>
  </w:endnote>
  <w:endnote w:type="continuationSeparator" w:id="0">
    <w:p w:rsidR="00EE0C18" w:rsidRDefault="00EE0C18" w:rsidP="007C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2868105"/>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rsidR="00B70487" w:rsidRDefault="00B704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27763">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7763">
              <w:rPr>
                <w:b/>
                <w:bCs/>
                <w:noProof/>
                <w:rtl/>
              </w:rPr>
              <w:t>2</w:t>
            </w:r>
            <w:r>
              <w:rPr>
                <w:b/>
                <w:bCs/>
                <w:sz w:val="24"/>
                <w:szCs w:val="24"/>
              </w:rPr>
              <w:fldChar w:fldCharType="end"/>
            </w:r>
          </w:p>
        </w:sdtContent>
      </w:sdt>
    </w:sdtContent>
  </w:sdt>
  <w:p w:rsidR="00B70487" w:rsidRDefault="00B70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C18" w:rsidRDefault="00EE0C18" w:rsidP="007C2EE4">
      <w:pPr>
        <w:spacing w:after="0" w:line="240" w:lineRule="auto"/>
      </w:pPr>
      <w:r>
        <w:separator/>
      </w:r>
    </w:p>
  </w:footnote>
  <w:footnote w:type="continuationSeparator" w:id="0">
    <w:p w:rsidR="00EE0C18" w:rsidRDefault="00EE0C18" w:rsidP="007C2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48D"/>
    <w:multiLevelType w:val="hybridMultilevel"/>
    <w:tmpl w:val="1A86F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008A8"/>
    <w:multiLevelType w:val="hybridMultilevel"/>
    <w:tmpl w:val="8D987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C541BA"/>
    <w:multiLevelType w:val="hybridMultilevel"/>
    <w:tmpl w:val="EC2841CA"/>
    <w:lvl w:ilvl="0" w:tplc="C9D69C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7C674C"/>
    <w:multiLevelType w:val="hybridMultilevel"/>
    <w:tmpl w:val="427AB640"/>
    <w:lvl w:ilvl="0" w:tplc="EF60CF88">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69871C7"/>
    <w:multiLevelType w:val="hybridMultilevel"/>
    <w:tmpl w:val="AF642A1A"/>
    <w:lvl w:ilvl="0" w:tplc="A5E0F5E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50A89"/>
    <w:multiLevelType w:val="hybridMultilevel"/>
    <w:tmpl w:val="95125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10305B"/>
    <w:multiLevelType w:val="hybridMultilevel"/>
    <w:tmpl w:val="B0F2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4F"/>
    <w:rsid w:val="0000571F"/>
    <w:rsid w:val="0001254F"/>
    <w:rsid w:val="00104A6B"/>
    <w:rsid w:val="00177B18"/>
    <w:rsid w:val="002465F4"/>
    <w:rsid w:val="002A5DEF"/>
    <w:rsid w:val="003A2601"/>
    <w:rsid w:val="004C6498"/>
    <w:rsid w:val="005A5F89"/>
    <w:rsid w:val="007C2EE4"/>
    <w:rsid w:val="007F1D15"/>
    <w:rsid w:val="00881D9D"/>
    <w:rsid w:val="008E077B"/>
    <w:rsid w:val="00910FDB"/>
    <w:rsid w:val="00927763"/>
    <w:rsid w:val="00A24C18"/>
    <w:rsid w:val="00B70487"/>
    <w:rsid w:val="00EA7A14"/>
    <w:rsid w:val="00EA7ED7"/>
    <w:rsid w:val="00EE0C18"/>
    <w:rsid w:val="00F7302D"/>
    <w:rsid w:val="00FE5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3A47-5562-45B0-AF00-017BD4C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4F"/>
    <w:pPr>
      <w:ind w:left="720"/>
      <w:contextualSpacing/>
    </w:pPr>
  </w:style>
  <w:style w:type="table" w:styleId="TableGrid">
    <w:name w:val="Table Grid"/>
    <w:basedOn w:val="TableNormal"/>
    <w:uiPriority w:val="39"/>
    <w:rsid w:val="0024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EE4"/>
  </w:style>
  <w:style w:type="paragraph" w:styleId="Footer">
    <w:name w:val="footer"/>
    <w:basedOn w:val="Normal"/>
    <w:link w:val="FooterChar"/>
    <w:uiPriority w:val="99"/>
    <w:unhideWhenUsed/>
    <w:rsid w:val="007C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7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8A29-F55D-4E99-9497-0F489B26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2024-10-27T09:27:00Z</cp:lastPrinted>
  <dcterms:created xsi:type="dcterms:W3CDTF">2024-11-30T11:29:00Z</dcterms:created>
  <dcterms:modified xsi:type="dcterms:W3CDTF">2024-11-30T11:29:00Z</dcterms:modified>
</cp:coreProperties>
</file>