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E71B7">
      <w:pPr>
        <w:jc w:val="center"/>
        <w:rPr>
          <w:lang w:bidi="ar-SA"/>
        </w:rPr>
      </w:pPr>
      <w:bookmarkStart w:id="0" w:name="_GoBack"/>
      <w:bookmarkEnd w:id="0"/>
      <w:r>
        <w:rPr>
          <w:b/>
          <w:bCs/>
          <w:color w:val="FF0000"/>
          <w:sz w:val="48"/>
          <w:szCs w:val="48"/>
          <w:u w:val="single"/>
          <w:rtl/>
          <w:lang w:bidi="ar-SA"/>
        </w:rPr>
        <w:t>البحث العا شر</w:t>
      </w:r>
      <w:r>
        <w:rPr>
          <w:lang w:bidi="ar-SA"/>
        </w:rPr>
        <w:t xml:space="preserve">    </w:t>
      </w:r>
    </w:p>
    <w:p w14:paraId="76A5D304">
      <w:pPr>
        <w:jc w:val="center"/>
        <w:rPr>
          <w:b/>
          <w:bCs/>
          <w:color w:val="FF0000"/>
          <w:sz w:val="32"/>
          <w:szCs w:val="32"/>
          <w:u w:val="single"/>
          <w:lang w:bidi="ar-SA"/>
        </w:rPr>
      </w:pPr>
      <w:r>
        <w:rPr>
          <w:b/>
          <w:bCs/>
          <w:color w:val="FF0000"/>
          <w:sz w:val="32"/>
          <w:szCs w:val="32"/>
          <w:u w:val="single"/>
          <w:rtl/>
          <w:lang w:bidi="ar-SA"/>
        </w:rPr>
        <w:t>الاختلافات الفقهية وآثارها العملية على النشاط المصرفي الإسلامي</w:t>
      </w:r>
    </w:p>
    <w:p w14:paraId="3BE0F5B8">
      <w:pPr>
        <w:jc w:val="right"/>
        <w:rPr>
          <w:b/>
          <w:bCs/>
          <w:color w:val="7030A0"/>
          <w:sz w:val="36"/>
          <w:szCs w:val="36"/>
          <w:u w:val="single"/>
          <w:rtl/>
          <w:lang w:bidi="ar-SA"/>
        </w:rPr>
      </w:pPr>
      <w:r>
        <w:rPr>
          <w:b/>
          <w:bCs/>
          <w:color w:val="7030A0"/>
          <w:sz w:val="36"/>
          <w:szCs w:val="36"/>
          <w:u w:val="single"/>
          <w:rtl/>
          <w:lang w:bidi="ar-SA"/>
        </w:rPr>
        <w:t>نبذة موجزة عن المذاهب الفقهية الأربعة</w:t>
      </w:r>
    </w:p>
    <w:p w14:paraId="004BD00B">
      <w:pPr>
        <w:jc w:val="right"/>
        <w:rPr>
          <w:sz w:val="32"/>
          <w:szCs w:val="32"/>
          <w:lang w:bidi="ar-SA"/>
        </w:rPr>
      </w:pPr>
      <w:r>
        <w:rPr>
          <w:b/>
          <w:bCs/>
          <w:color w:val="4EA72E" w:themeColor="accent6" w:themeTint="FF"/>
          <w:sz w:val="32"/>
          <w:szCs w:val="32"/>
          <w:u w:val="single"/>
          <w:rtl/>
          <w:lang w:bidi="ar-SA"/>
          <w14:textFill>
            <w14:solidFill>
              <w14:schemeClr w14:val="accent6">
                <w14:lumMod w14:val="100000"/>
                <w14:lumOff w14:val="0"/>
              </w14:schemeClr>
            </w14:solidFill>
          </w14:textFill>
        </w:rPr>
        <w:t>تعريف المذهب الفقهي :</w:t>
      </w:r>
      <w:r>
        <w:rPr>
          <w:sz w:val="32"/>
          <w:szCs w:val="32"/>
          <w:rtl/>
          <w:lang w:bidi="ar-SA"/>
        </w:rPr>
        <w:t>اصطلاحا ظهر خلال القرن الرابع الهجري بعد تميز المذاهب الفقهية وهو عند الفقهاء الاتجاه الفقهي في أحكام الشريعة والطريقة التي ينتهجها المجتهد أو عدد من المجتهدين في الاستنباط وكيفية الاستدلال والفروع التي تضاف في ضوء أصول المذهب</w:t>
      </w:r>
    </w:p>
    <w:p w14:paraId="18C5AFD6">
      <w:pPr>
        <w:jc w:val="right"/>
        <w:rPr>
          <w:b/>
          <w:bCs/>
          <w:sz w:val="32"/>
          <w:szCs w:val="32"/>
          <w:u w:val="single"/>
          <w:lang w:bidi="ar-SA"/>
        </w:rPr>
      </w:pPr>
      <w:r>
        <w:rPr>
          <w:b/>
          <w:bCs/>
          <w:color w:val="4EA72E" w:themeColor="accent6" w:themeTint="FF"/>
          <w:sz w:val="32"/>
          <w:szCs w:val="32"/>
          <w:u w:val="single"/>
          <w:rtl/>
          <w:lang w:bidi="ar-SA"/>
          <w14:textFill>
            <w14:solidFill>
              <w14:schemeClr w14:val="accent6">
                <w14:lumMod w14:val="100000"/>
                <w14:lumOff w14:val="0"/>
              </w14:schemeClr>
            </w14:solidFill>
          </w14:textFill>
        </w:rPr>
        <w:t>مراحل تطور المذاهب الفقهية السنية</w:t>
      </w:r>
    </w:p>
    <w:p w14:paraId="65AE6754">
      <w:pPr>
        <w:jc w:val="right"/>
        <w:rPr>
          <w:b w:val="0"/>
          <w:bCs w:val="0"/>
          <w:color w:val="E8E8E8" w:themeColor="background2" w:themeTint="FF"/>
          <w:sz w:val="32"/>
          <w:szCs w:val="32"/>
          <w:u w:val="none"/>
          <w:rtl/>
          <w:lang w:bidi="ar-SA"/>
          <w14:textFill>
            <w14:solidFill>
              <w14:schemeClr w14:val="bg2">
                <w14:lumMod w14:val="100000"/>
                <w14:lumOff w14:val="0"/>
              </w14:schemeClr>
            </w14:solidFill>
          </w14:textFill>
        </w:rPr>
      </w:pPr>
      <w:r>
        <w:rPr>
          <w:b w:val="0"/>
          <w:bCs w:val="0"/>
          <w:color w:val="E8E8E8" w:themeColor="background2" w:themeTint="FF"/>
          <w:sz w:val="32"/>
          <w:szCs w:val="32"/>
          <w:u w:val="none"/>
          <w:rtl/>
          <w:lang w:bidi="ar-SA"/>
          <w14:textFill>
            <w14:solidFill>
              <w14:schemeClr w14:val="bg2">
                <w14:lumMod w14:val="100000"/>
                <w14:lumOff w14:val="0"/>
              </w14:schemeClr>
            </w14:solidFill>
          </w14:textFill>
        </w:rPr>
        <w:t>مرت المذاهب الفقهية السنية بعد قيمها وتبلور مناهجها بثلاث مراحل أساسية</w:t>
      </w:r>
    </w:p>
    <w:p w14:paraId="24AB78B2">
      <w:pPr>
        <w:jc w:val="right"/>
        <w:rPr>
          <w:sz w:val="32"/>
          <w:szCs w:val="32"/>
          <w:lang w:bidi="ar-SA"/>
        </w:rPr>
      </w:pPr>
      <w:r>
        <w:rPr>
          <w:color w:val="215F9A" w:themeColor="text2" w:themeTint="BF"/>
          <w:sz w:val="32"/>
          <w:szCs w:val="32"/>
          <w:rtl/>
          <w:lang w:bidi="ar-SA"/>
          <w14:textFill>
            <w14:solidFill>
              <w14:schemeClr w14:val="tx2">
                <w14:lumMod w14:val="75000"/>
                <w14:lumOff w14:val="25000"/>
              </w14:schemeClr>
            </w14:solidFill>
          </w14:textFill>
        </w:rPr>
        <w:t>مرحلة التأسيس والبناء</w:t>
      </w:r>
      <w:r>
        <w:rPr>
          <w:sz w:val="32"/>
          <w:szCs w:val="32"/>
          <w:rtl/>
          <w:lang w:bidi="ar-SA"/>
        </w:rPr>
        <w:t xml:space="preserve"> :امتدت هذه المرحلة على ما يزيد عن ثلاثة قرون حتى سقوط بغداد سنة 656 هجري تميزت هذه المرحلة بتنظيم وترتيب الفقه المذهبي</w:t>
      </w:r>
    </w:p>
    <w:p w14:paraId="19E183C5">
      <w:pPr>
        <w:jc w:val="right"/>
        <w:rPr>
          <w:sz w:val="32"/>
          <w:szCs w:val="32"/>
          <w:lang w:bidi="ar-SA"/>
        </w:rPr>
      </w:pPr>
      <w:r>
        <w:rPr>
          <w:color w:val="215F9A" w:themeColor="text2" w:themeTint="BF"/>
          <w:sz w:val="32"/>
          <w:szCs w:val="32"/>
          <w:rtl/>
          <w:lang w:bidi="ar-SA"/>
          <w14:textFill>
            <w14:solidFill>
              <w14:schemeClr w14:val="tx2">
                <w14:lumMod w14:val="75000"/>
                <w14:lumOff w14:val="25000"/>
              </w14:schemeClr>
            </w14:solidFill>
          </w14:textFill>
        </w:rPr>
        <w:t xml:space="preserve">مرحلة شيوع ظاهرة التقليد وإغلاق باب الاجتهاد : </w:t>
      </w:r>
      <w:r>
        <w:rPr>
          <w:sz w:val="32"/>
          <w:szCs w:val="32"/>
          <w:rtl/>
          <w:lang w:bidi="ar-SA"/>
        </w:rPr>
        <w:t>مع بداية القرن الثامن الهجري حيث اقتصر النشاط الفقهي على اجترار التراث الفقهي عن طريق شرحه واختصاره أو تنظيمه من غير إضافة جديدة مع طغيان المباحث اللفظية والمسائل الافتراضية</w:t>
      </w:r>
    </w:p>
    <w:p w14:paraId="7B9C796A">
      <w:pPr>
        <w:jc w:val="right"/>
        <w:rPr>
          <w:sz w:val="32"/>
          <w:szCs w:val="32"/>
          <w:lang w:bidi="ar-SA"/>
        </w:rPr>
      </w:pPr>
      <w:r>
        <w:rPr>
          <w:color w:val="215F9A" w:themeColor="text2" w:themeTint="BF"/>
          <w:sz w:val="32"/>
          <w:szCs w:val="32"/>
          <w:rtl/>
          <w:lang w:bidi="ar-SA"/>
          <w14:textFill>
            <w14:solidFill>
              <w14:schemeClr w14:val="tx2">
                <w14:lumMod w14:val="75000"/>
                <w14:lumOff w14:val="25000"/>
              </w14:schemeClr>
            </w14:solidFill>
          </w14:textFill>
        </w:rPr>
        <w:t xml:space="preserve">مرحلة التجديد و الإنطواء: </w:t>
      </w:r>
      <w:r>
        <w:rPr>
          <w:sz w:val="32"/>
          <w:szCs w:val="32"/>
          <w:rtl/>
          <w:lang w:bidi="ar-SA"/>
        </w:rPr>
        <w:t>مع بداية القرن التاسع عشر حيث أخذت الدراسات الفقهية تشق طريقها نحو التجديد والتطوير ومواكبة العصر ومشكلاته المختلفة تحت ضغط التطور الزمني وتقدم المعارف الإنسانية والاحتكاك بالحضارات فظهرت نخبة من العلماء قادوا حركة التجديد وحذروا من الجمود والركود</w:t>
      </w:r>
      <w:r>
        <w:rPr>
          <w:sz w:val="32"/>
          <w:szCs w:val="32"/>
          <w:lang w:bidi="ar-SA"/>
        </w:rPr>
        <w:t xml:space="preserve"> </w:t>
      </w:r>
    </w:p>
    <w:p w14:paraId="191CD794">
      <w:pPr>
        <w:jc w:val="right"/>
        <w:rPr>
          <w:b/>
          <w:bCs/>
          <w:color w:val="4EA72E" w:themeColor="accent6" w:themeTint="FF"/>
          <w:sz w:val="32"/>
          <w:szCs w:val="32"/>
          <w:u w:val="single"/>
          <w:lang w:bidi="ar-SA"/>
          <w14:textFill>
            <w14:solidFill>
              <w14:schemeClr w14:val="accent6">
                <w14:lumMod w14:val="100000"/>
                <w14:lumOff w14:val="0"/>
              </w14:schemeClr>
            </w14:solidFill>
          </w14:textFill>
        </w:rPr>
      </w:pPr>
      <w:r>
        <w:rPr>
          <w:b/>
          <w:bCs/>
          <w:color w:val="4EA72E" w:themeColor="accent6" w:themeTint="FF"/>
          <w:sz w:val="32"/>
          <w:szCs w:val="32"/>
          <w:u w:val="single"/>
          <w:rtl/>
          <w:lang w:bidi="ar-SA"/>
          <w14:textFill>
            <w14:solidFill>
              <w14:schemeClr w14:val="accent6">
                <w14:lumMod w14:val="100000"/>
                <w14:lumOff w14:val="0"/>
              </w14:schemeClr>
            </w14:solidFill>
          </w14:textFill>
        </w:rPr>
        <w:t>المذاهب السنية الفقهية الأربعة</w:t>
      </w:r>
    </w:p>
    <w:p w14:paraId="11349F9D">
      <w:pPr>
        <w:jc w:val="right"/>
        <w:rPr>
          <w:sz w:val="32"/>
          <w:szCs w:val="32"/>
          <w:lang w:bidi="ar-SA"/>
        </w:rPr>
      </w:pPr>
      <w:r>
        <w:rPr>
          <w:sz w:val="32"/>
          <w:szCs w:val="32"/>
          <w:rtl/>
          <w:lang w:bidi="ar-SA"/>
        </w:rPr>
        <w:t>وهكذا ظهرت المذاهب الفقهية الكبرى في عصر الدولة العباسية وهذه المذاهب حسب التسلسل التاريخي</w:t>
      </w:r>
    </w:p>
    <w:p w14:paraId="6C860008">
      <w:pPr>
        <w:jc w:val="right"/>
        <w:rPr>
          <w:sz w:val="32"/>
          <w:szCs w:val="32"/>
          <w:lang w:bidi="ar-SA"/>
        </w:rPr>
      </w:pPr>
      <w:r>
        <w:rPr>
          <w:color w:val="0070C0"/>
          <w:sz w:val="32"/>
          <w:szCs w:val="32"/>
          <w:rtl/>
          <w:lang w:bidi="ar-SA"/>
        </w:rPr>
        <w:t>المذهب الحنفي:</w:t>
      </w:r>
      <w:r>
        <w:rPr>
          <w:sz w:val="32"/>
          <w:szCs w:val="32"/>
          <w:rtl/>
          <w:lang w:bidi="ar-SA"/>
        </w:rPr>
        <w:t xml:space="preserve"> نسبة إلى الإمام أبو حنيفة النعمان من 80 إلى  50 1 هجري نشأ في الكوفة ونما في بغداد واتسع بمؤازرة الدولة العباسية له وكان مذهبه يعتمد بالإضافة إلى الأصول النقلية المتفق عليها هي القياس والاستحسان والعرف وقول الصحابي وشرع من قبلنا فتوسع المذهب إلى اعتماد الأصول العقلية والتشدد في ضوابط الحديث</w:t>
      </w:r>
    </w:p>
    <w:p w14:paraId="35DD7B26">
      <w:pPr>
        <w:jc w:val="right"/>
        <w:rPr>
          <w:sz w:val="32"/>
          <w:szCs w:val="32"/>
          <w:lang w:bidi="ar-SA"/>
        </w:rPr>
      </w:pPr>
      <w:r>
        <w:rPr>
          <w:color w:val="0070C0"/>
          <w:sz w:val="32"/>
          <w:szCs w:val="32"/>
          <w:rtl/>
          <w:lang w:bidi="ar-SA"/>
        </w:rPr>
        <w:t>المذهب المالكي</w:t>
      </w:r>
      <w:r>
        <w:rPr>
          <w:sz w:val="32"/>
          <w:szCs w:val="32"/>
          <w:rtl/>
          <w:lang w:bidi="ar-SA"/>
        </w:rPr>
        <w:t xml:space="preserve"> :وهو عبارة عن ما ذهب إليه الإمام مالك من 93 إلى 179 هجري من الأحكام الاجتهادية مراعيا في ذلك أصولا  معلومة وأخرى مخصوصة ويعتمد المذهب إضافة إلى الأصول متفق عليها بين جميع الأئمة من الكتاب والس من الكتاب والسنة وإجماع الصحابة على عمل أهل المدينة والاستصلاح والتمسك بالاصل في عدم جواز القياس</w:t>
      </w:r>
    </w:p>
    <w:p w14:paraId="78BC360D">
      <w:pPr>
        <w:jc w:val="right"/>
        <w:rPr>
          <w:sz w:val="32"/>
          <w:szCs w:val="32"/>
          <w:lang w:bidi="ar-SA"/>
        </w:rPr>
      </w:pPr>
      <w:r>
        <w:rPr>
          <w:b/>
          <w:bCs/>
          <w:color w:val="0070C0"/>
          <w:sz w:val="32"/>
          <w:szCs w:val="32"/>
          <w:u w:val="none"/>
          <w:rtl/>
          <w:lang w:bidi="ar-SA"/>
        </w:rPr>
        <w:t>المذهب الشافعي</w:t>
      </w:r>
      <w:r>
        <w:rPr>
          <w:sz w:val="32"/>
          <w:szCs w:val="32"/>
          <w:rtl/>
          <w:lang w:bidi="ar-SA"/>
        </w:rPr>
        <w:t xml:space="preserve"> :وصاحبه محمد بن إدريس الشافعي 150 إلى 204 هجري عاش في مكة ثم رحل إلى العراق حيث تعلم في بغداد فقه أبي حنيفة ومن ثم جاء مذهبه مالك بن أنس المعتمد على الحديث ويعتمد المذهب الشافعي في استنباطه وطرائق استدلاله على الأصول التي وضعها الإمام الشافعي ودونها في كتابه الشهير الرسالة وتميز بجمعه بين منهج الحديث والقياس وإعطاء الأولوية للحديث والاعتدال في الرأي</w:t>
      </w:r>
    </w:p>
    <w:p w14:paraId="0ABCE0B0">
      <w:pPr>
        <w:jc w:val="right"/>
        <w:rPr>
          <w:sz w:val="32"/>
          <w:szCs w:val="32"/>
          <w:lang w:bidi="ar-SA"/>
        </w:rPr>
      </w:pPr>
      <w:r>
        <w:rPr>
          <w:color w:val="0070C0"/>
          <w:sz w:val="32"/>
          <w:szCs w:val="32"/>
          <w:rtl/>
          <w:lang w:bidi="ar-SA"/>
        </w:rPr>
        <w:t>المذهب الحنبلي:</w:t>
      </w:r>
      <w:r>
        <w:rPr>
          <w:sz w:val="32"/>
          <w:szCs w:val="32"/>
          <w:rtl/>
          <w:lang w:bidi="ar-SA"/>
        </w:rPr>
        <w:t xml:space="preserve"> وصاحبه الإمام أحمد بن حنبل 164 إلى 241 هجري وهو آخر المذاهب ميناء الناحية الزمنية وكان يرى أن يقوم الفقه على النص من الكتاب أو الحديث اعتبر الحديث أفضل من الرأي لذلك عد في نظر كثير من العلماء من رجال الحديث لا من الفقهاء تميز المذهب بالتمسك بالحديث النبوي والآثار ورفض القياس إلا في الحالات الضرورية</w:t>
      </w:r>
    </w:p>
    <w:p w14:paraId="074E830E">
      <w:pPr>
        <w:jc w:val="right"/>
        <w:rPr>
          <w:b/>
          <w:bCs/>
          <w:color w:val="4EA72E" w:themeColor="accent6" w:themeTint="FF"/>
          <w:sz w:val="32"/>
          <w:szCs w:val="32"/>
          <w:u w:val="single"/>
          <w:lang w:bidi="ar-SA"/>
          <w14:textFill>
            <w14:solidFill>
              <w14:schemeClr w14:val="accent6">
                <w14:lumMod w14:val="100000"/>
                <w14:lumOff w14:val="0"/>
              </w14:schemeClr>
            </w14:solidFill>
          </w14:textFill>
        </w:rPr>
      </w:pPr>
      <w:r>
        <w:rPr>
          <w:b/>
          <w:bCs/>
          <w:color w:val="4EA72E" w:themeColor="accent6" w:themeTint="FF"/>
          <w:sz w:val="32"/>
          <w:szCs w:val="32"/>
          <w:u w:val="single"/>
          <w:rtl/>
          <w:lang w:bidi="ar-SA"/>
          <w14:textFill>
            <w14:solidFill>
              <w14:schemeClr w14:val="accent6">
                <w14:lumMod w14:val="100000"/>
                <w14:lumOff w14:val="0"/>
              </w14:schemeClr>
            </w14:solidFill>
          </w14:textFill>
        </w:rPr>
        <w:t>تعريف الاختلاف الفقهي</w:t>
      </w:r>
    </w:p>
    <w:p w14:paraId="0845376D">
      <w:pPr>
        <w:jc w:val="right"/>
        <w:rPr>
          <w:sz w:val="32"/>
          <w:szCs w:val="32"/>
          <w:lang w:bidi="ar-SA"/>
        </w:rPr>
      </w:pPr>
      <w:r>
        <w:rPr>
          <w:sz w:val="32"/>
          <w:szCs w:val="32"/>
          <w:rtl/>
          <w:lang w:bidi="ar-SA"/>
        </w:rPr>
        <w:t>معنى الاختلاف الفقهي هو اختلاف المجتهدين في فهم النصوص أو اختلاف المجتهدين في القواعد الأصولية أو اختلاف المجتهدين في الجمع والترجيح بين النصوص المتعارضة</w:t>
      </w:r>
    </w:p>
    <w:p w14:paraId="55D2826A">
      <w:pPr>
        <w:jc w:val="right"/>
        <w:rPr>
          <w:sz w:val="32"/>
          <w:szCs w:val="32"/>
          <w:lang w:bidi="ar-SA"/>
        </w:rPr>
      </w:pPr>
      <w:r>
        <w:rPr>
          <w:b/>
          <w:bCs/>
          <w:color w:val="4EA72E" w:themeColor="accent6" w:themeTint="FF"/>
          <w:sz w:val="32"/>
          <w:szCs w:val="32"/>
          <w:u w:val="single"/>
          <w:rtl/>
          <w:lang w:bidi="ar-SA"/>
          <w14:textFill>
            <w14:solidFill>
              <w14:schemeClr w14:val="accent6">
                <w14:lumMod w14:val="100000"/>
                <w14:lumOff w14:val="0"/>
              </w14:schemeClr>
            </w14:solidFill>
          </w14:textFill>
        </w:rPr>
        <w:t xml:space="preserve">أسباب الاختلاف الفقهي : </w:t>
      </w:r>
      <w:r>
        <w:rPr>
          <w:sz w:val="32"/>
          <w:szCs w:val="32"/>
          <w:rtl/>
          <w:lang w:bidi="ar-SA"/>
        </w:rPr>
        <w:t>أسباب الاختلاف الفقهي أو أمور عدة أهمها</w:t>
      </w:r>
    </w:p>
    <w:p w14:paraId="67E37748">
      <w:pPr>
        <w:jc w:val="right"/>
        <w:rPr>
          <w:sz w:val="32"/>
          <w:szCs w:val="32"/>
          <w:rtl/>
          <w:lang w:bidi="ar-SA"/>
        </w:rPr>
      </w:pPr>
      <w:r>
        <w:rPr>
          <w:b w:val="0"/>
          <w:bCs w:val="0"/>
          <w:color w:val="0F9ED5" w:themeColor="accent4" w:themeTint="FF"/>
          <w:sz w:val="32"/>
          <w:szCs w:val="32"/>
          <w:rtl/>
          <w:lang w:bidi="ar-SA"/>
          <w14:textFill>
            <w14:solidFill>
              <w14:schemeClr w14:val="accent4">
                <w14:lumMod w14:val="100000"/>
                <w14:lumOff w14:val="0"/>
              </w14:schemeClr>
            </w14:solidFill>
          </w14:textFill>
        </w:rPr>
        <w:t xml:space="preserve">اختلاف الفهم: </w:t>
      </w:r>
      <w:r>
        <w:rPr>
          <w:sz w:val="32"/>
          <w:szCs w:val="32"/>
          <w:rtl/>
          <w:lang w:bidi="ar-SA"/>
        </w:rPr>
        <w:t>ليس فهم الناس واحدة هذا يفهم من النص شيئا والآخر يفهم خلافه فالناس فهومهم مختلفة وذكائهم مختلف</w:t>
      </w:r>
      <w:r>
        <w:rPr>
          <w:sz w:val="32"/>
          <w:szCs w:val="32"/>
          <w:lang w:bidi="ar-SA"/>
        </w:rPr>
        <w:t xml:space="preserve"> </w:t>
      </w:r>
    </w:p>
    <w:p w14:paraId="142223F4">
      <w:pPr>
        <w:jc w:val="right"/>
        <w:rPr>
          <w:b w:val="0"/>
          <w:bCs w:val="0"/>
          <w:color w:val="E8E8E8" w:themeColor="background2" w:themeTint="FF"/>
          <w:sz w:val="32"/>
          <w:szCs w:val="32"/>
          <w:rtl/>
          <w:lang w:bidi="ar-EG"/>
          <w14:textFill>
            <w14:solidFill>
              <w14:schemeClr w14:val="bg2">
                <w14:lumMod w14:val="100000"/>
                <w14:lumOff w14:val="0"/>
              </w14:schemeClr>
            </w14:solidFill>
          </w14:textFill>
        </w:rPr>
      </w:pPr>
      <w:r>
        <w:rPr>
          <w:color w:val="0F9ED5" w:themeColor="accent4" w:themeTint="FF"/>
          <w:sz w:val="32"/>
          <w:szCs w:val="32"/>
          <w:rtl/>
          <w:lang w:bidi="ar-SA"/>
          <w14:textFill>
            <w14:solidFill>
              <w14:schemeClr w14:val="accent4">
                <w14:lumMod w14:val="100000"/>
                <w14:lumOff w14:val="0"/>
              </w14:schemeClr>
            </w14:solidFill>
          </w14:textFill>
        </w:rPr>
        <w:t>عدم حفظ الأدلة:</w:t>
      </w:r>
      <w:r>
        <w:rPr>
          <w:sz w:val="32"/>
          <w:szCs w:val="32"/>
          <w:rtl/>
          <w:lang w:bidi="ar-SA"/>
        </w:rPr>
        <w:t xml:space="preserve"> هذا يحفظ من الأدلة كثيرا وهذا لا يحفظ إلا قليل          </w:t>
      </w:r>
      <w:r>
        <w:rPr>
          <w:b w:val="0"/>
          <w:bCs w:val="0"/>
          <w:color w:val="0F9ED5" w:themeColor="accent4" w:themeTint="FF"/>
          <w:sz w:val="32"/>
          <w:szCs w:val="32"/>
          <w:rtl/>
          <w:lang w:bidi="ar-SA"/>
          <w14:textFill>
            <w14:solidFill>
              <w14:schemeClr w14:val="accent4">
                <w14:lumMod w14:val="100000"/>
                <w14:lumOff w14:val="0"/>
              </w14:schemeClr>
            </w14:solidFill>
          </w14:textFill>
        </w:rPr>
        <w:t>كمال الحرص على طلب الحق و ضعفه:</w:t>
      </w:r>
      <w:r>
        <w:rPr>
          <w:b w:val="0"/>
          <w:bCs w:val="0"/>
          <w:color w:val="E8E8E8" w:themeColor="background2" w:themeTint="FF"/>
          <w:sz w:val="32"/>
          <w:szCs w:val="32"/>
          <w:rtl/>
          <w:lang w:bidi="ar-SA"/>
          <w14:textFill>
            <w14:solidFill>
              <w14:schemeClr w14:val="bg2">
                <w14:lumMod w14:val="100000"/>
                <w14:lumOff w14:val="0"/>
              </w14:schemeClr>
            </w14:solidFill>
          </w14:textFill>
        </w:rPr>
        <w:t xml:space="preserve">بعض الناس عندهم حرص كامل </w:t>
      </w:r>
      <w:r>
        <w:rPr>
          <w:b w:val="0"/>
          <w:bCs w:val="0"/>
          <w:color w:val="E8E8E8" w:themeColor="background2" w:themeTint="FF"/>
          <w:sz w:val="32"/>
          <w:szCs w:val="32"/>
          <w:rtl/>
          <w:lang w:bidi="ar-EG"/>
          <w14:textFill>
            <w14:solidFill>
              <w14:schemeClr w14:val="bg2">
                <w14:lumMod w14:val="100000"/>
                <w14:lumOff w14:val="0"/>
              </w14:schemeClr>
            </w14:solidFill>
          </w14:textFill>
        </w:rPr>
        <w:t>على طالب الأدلة حتى يستوفي المقام وبعض الناس يتساهلون في</w:t>
      </w:r>
      <w:r>
        <w:rPr>
          <w:b w:val="0"/>
          <w:bCs w:val="0"/>
          <w:color w:val="E8E8E8" w:themeColor="background2" w:themeTint="FF"/>
          <w:sz w:val="32"/>
          <w:szCs w:val="32"/>
          <w:lang w:bidi="ar-EG"/>
          <w14:textFill>
            <w14:solidFill>
              <w14:schemeClr w14:val="bg2">
                <w14:lumMod w14:val="100000"/>
                <w14:lumOff w14:val="0"/>
              </w14:schemeClr>
            </w14:solidFill>
          </w14:textFill>
        </w:rPr>
        <w:t xml:space="preserve"> </w:t>
      </w:r>
    </w:p>
    <w:p w14:paraId="33C25209">
      <w:pPr>
        <w:jc w:val="right"/>
        <w:rPr>
          <w:b w:val="0"/>
          <w:bCs w:val="0"/>
          <w:color w:val="E8E8E8" w:themeColor="background2" w:themeTint="FF"/>
          <w:sz w:val="32"/>
          <w:szCs w:val="32"/>
          <w:rtl/>
          <w:lang w:bidi="ar-EG"/>
          <w14:textFill>
            <w14:solidFill>
              <w14:schemeClr w14:val="bg2">
                <w14:lumMod w14:val="100000"/>
                <w14:lumOff w14:val="0"/>
              </w14:schemeClr>
            </w14:solidFill>
          </w14:textFill>
        </w:rPr>
      </w:pPr>
      <w:r>
        <w:rPr>
          <w:b w:val="0"/>
          <w:bCs w:val="0"/>
          <w:color w:val="E8E8E8" w:themeColor="background2" w:themeTint="FF"/>
          <w:sz w:val="32"/>
          <w:szCs w:val="32"/>
          <w:rtl/>
          <w:lang w:bidi="ar-EG"/>
          <w14:textFill>
            <w14:solidFill>
              <w14:schemeClr w14:val="bg2">
                <w14:lumMod w14:val="100000"/>
                <w14:lumOff w14:val="0"/>
              </w14:schemeClr>
            </w14:solidFill>
          </w14:textFill>
        </w:rPr>
        <w:t>في طلب الأدلة ويكتفون بالقليل فيخطئون</w:t>
      </w:r>
    </w:p>
    <w:p w14:paraId="60A2CE38">
      <w:pPr>
        <w:jc w:val="right"/>
        <w:rPr>
          <w:b w:val="0"/>
          <w:bCs w:val="0"/>
          <w:color w:val="E8E8E8" w:themeColor="background2" w:themeTint="FF"/>
          <w:sz w:val="32"/>
          <w:szCs w:val="32"/>
          <w:rtl/>
          <w:lang w:bidi="ar-EG"/>
          <w14:textFill>
            <w14:solidFill>
              <w14:schemeClr w14:val="bg2">
                <w14:lumMod w14:val="100000"/>
                <w14:lumOff w14:val="0"/>
              </w14:schemeClr>
            </w14:solidFill>
          </w14:textFill>
        </w:rPr>
      </w:pPr>
      <w:r>
        <w:rPr>
          <w:b/>
          <w:bCs/>
          <w:color w:val="4EA72E" w:themeColor="accent6" w:themeTint="FF"/>
          <w:sz w:val="32"/>
          <w:szCs w:val="32"/>
          <w:u w:val="single"/>
          <w:rtl/>
          <w:lang w:bidi="ar-EG"/>
          <w14:textFill>
            <w14:solidFill>
              <w14:schemeClr w14:val="accent6">
                <w14:lumMod w14:val="100000"/>
                <w14:lumOff w14:val="0"/>
              </w14:schemeClr>
            </w14:solidFill>
          </w14:textFill>
        </w:rPr>
        <w:t>الاختلافات الفقهية وآثارها العملية على النشاط المصرفي الإسلامي</w:t>
      </w:r>
      <w:r>
        <w:rPr>
          <w:b w:val="0"/>
          <w:bCs w:val="0"/>
          <w:color w:val="4EA72E" w:themeColor="accent6" w:themeTint="FF"/>
          <w:sz w:val="32"/>
          <w:szCs w:val="32"/>
          <w:lang w:bidi="ar-EG"/>
          <w14:textFill>
            <w14:solidFill>
              <w14:schemeClr w14:val="accent6">
                <w14:lumMod w14:val="100000"/>
                <w14:lumOff w14:val="0"/>
              </w14:schemeClr>
            </w14:solidFill>
          </w14:textFill>
        </w:rPr>
        <w:t xml:space="preserve"> </w:t>
      </w:r>
    </w:p>
    <w:p w14:paraId="4750454E">
      <w:pPr>
        <w:jc w:val="right"/>
        <w:rPr>
          <w:b w:val="0"/>
          <w:bCs w:val="0"/>
          <w:color w:val="E8E8E8" w:themeColor="background2" w:themeTint="FF"/>
          <w:sz w:val="32"/>
          <w:szCs w:val="32"/>
          <w:rtl/>
          <w:lang w:bidi="ar-EG"/>
          <w14:textFill>
            <w14:solidFill>
              <w14:schemeClr w14:val="bg2">
                <w14:lumMod w14:val="100000"/>
                <w14:lumOff w14:val="0"/>
              </w14:schemeClr>
            </w14:solidFill>
          </w14:textFill>
        </w:rPr>
      </w:pPr>
      <w:r>
        <w:rPr>
          <w:b w:val="0"/>
          <w:bCs w:val="0"/>
          <w:color w:val="E8E8E8" w:themeColor="background2" w:themeTint="FF"/>
          <w:sz w:val="32"/>
          <w:szCs w:val="32"/>
          <w:rtl/>
          <w:lang w:bidi="ar-EG"/>
          <w14:textFill>
            <w14:solidFill>
              <w14:schemeClr w14:val="bg2">
                <w14:lumMod w14:val="100000"/>
                <w14:lumOff w14:val="0"/>
              </w14:schemeClr>
            </w14:solidFill>
          </w14:textFill>
        </w:rPr>
        <w:t>الوكالة : الأصل في الوكالة كونها جائزة ولا يلزم تسجيلها لدى الدوائر الرسمية و عملها وفق الإجراءات القانونية ولكن أولى فعلها حفظا للحقوق من الضياع وهي تعني تفويض التصرف إلى الغير وهي جائزة بالكتاب والسنة والإجماع</w:t>
      </w:r>
      <w:r>
        <w:rPr>
          <w:b w:val="0"/>
          <w:bCs w:val="0"/>
          <w:color w:val="E8E8E8" w:themeColor="background2" w:themeTint="FF"/>
          <w:sz w:val="32"/>
          <w:szCs w:val="32"/>
          <w:lang w:bidi="ar-EG"/>
          <w14:textFill>
            <w14:solidFill>
              <w14:schemeClr w14:val="bg2">
                <w14:lumMod w14:val="100000"/>
                <w14:lumOff w14:val="0"/>
              </w14:schemeClr>
            </w14:solidFill>
          </w14:textFill>
        </w:rPr>
        <w:t xml:space="preserve"> </w:t>
      </w:r>
    </w:p>
    <w:p w14:paraId="59AE61FF">
      <w:pPr>
        <w:jc w:val="right"/>
        <w:rPr>
          <w:b w:val="0"/>
          <w:bCs w:val="0"/>
          <w:color w:val="E8E8E8" w:themeColor="background2" w:themeTint="FF"/>
          <w:sz w:val="32"/>
          <w:szCs w:val="32"/>
          <w:rtl/>
          <w:lang w:bidi="ar-EG"/>
          <w14:textFill>
            <w14:solidFill>
              <w14:schemeClr w14:val="bg2">
                <w14:lumMod w14:val="100000"/>
                <w14:lumOff w14:val="0"/>
              </w14:schemeClr>
            </w14:solidFill>
          </w14:textFill>
        </w:rPr>
      </w:pPr>
      <w:r>
        <w:rPr>
          <w:b w:val="0"/>
          <w:bCs w:val="0"/>
          <w:color w:val="E8E8E8" w:themeColor="background2" w:themeTint="FF"/>
          <w:sz w:val="32"/>
          <w:szCs w:val="32"/>
          <w:rtl/>
          <w:lang w:bidi="ar-EG"/>
          <w14:textFill>
            <w14:solidFill>
              <w14:schemeClr w14:val="bg2">
                <w14:lumMod w14:val="100000"/>
                <w14:lumOff w14:val="0"/>
              </w14:schemeClr>
            </w14:solidFill>
          </w14:textFill>
        </w:rPr>
        <w:t>ومن أدلة الكتاب على جوازها قول الله تعالى عن أهل الكهف  فابعثوا أحدكم بورقكم هذه إلى المدينة فلينظر أيها ازكى طعاما فليأتكم برزق منه وليتلطف ولا يشعرنا بكم أحد : 19 من سورة الكهف</w:t>
      </w:r>
    </w:p>
    <w:p w14:paraId="32EE8114">
      <w:pPr>
        <w:jc w:val="right"/>
        <w:rPr>
          <w:b w:val="0"/>
          <w:bCs w:val="0"/>
          <w:color w:val="E8E8E8" w:themeColor="background2" w:themeTint="FF"/>
          <w:sz w:val="32"/>
          <w:szCs w:val="32"/>
          <w:rtl/>
          <w:lang w:bidi="ar-EG"/>
          <w14:textFill>
            <w14:solidFill>
              <w14:schemeClr w14:val="bg2">
                <w14:lumMod w14:val="100000"/>
                <w14:lumOff w14:val="0"/>
              </w14:schemeClr>
            </w14:solidFill>
          </w14:textFill>
        </w:rPr>
      </w:pPr>
      <w:r>
        <w:rPr>
          <w:b w:val="0"/>
          <w:bCs w:val="0"/>
          <w:color w:val="E8E8E8" w:themeColor="background2" w:themeTint="FF"/>
          <w:sz w:val="32"/>
          <w:szCs w:val="32"/>
          <w:rtl/>
          <w:lang w:bidi="ar-EG"/>
          <w14:textFill>
            <w14:solidFill>
              <w14:schemeClr w14:val="bg2">
                <w14:lumMod w14:val="100000"/>
                <w14:lumOff w14:val="0"/>
              </w14:schemeClr>
            </w14:solidFill>
          </w14:textFill>
        </w:rPr>
        <w:t>من أدلة السنة ما رواه البخاري عن عروة البارقي رضي الله عنه أن النبي صلى الله عليه وسلم وأعطاه دينارا يشتري له به شاة فاشترى له به شاتين</w:t>
      </w:r>
    </w:p>
    <w:p w14:paraId="706173DF">
      <w:pPr>
        <w:jc w:val="right"/>
        <w:rPr>
          <w:b w:val="0"/>
          <w:bCs w:val="0"/>
          <w:color w:val="E8E8E8" w:themeColor="background2" w:themeTint="FF"/>
          <w:sz w:val="32"/>
          <w:szCs w:val="32"/>
          <w:rtl/>
          <w:lang w:bidi="ar-EG"/>
          <w14:textFill>
            <w14:solidFill>
              <w14:schemeClr w14:val="bg2">
                <w14:lumMod w14:val="100000"/>
                <w14:lumOff w14:val="0"/>
              </w14:schemeClr>
            </w14:solidFill>
          </w14:textFill>
        </w:rPr>
      </w:pPr>
      <w:r>
        <w:rPr>
          <w:b w:val="0"/>
          <w:bCs w:val="0"/>
          <w:color w:val="E8E8E8" w:themeColor="background2" w:themeTint="FF"/>
          <w:sz w:val="32"/>
          <w:szCs w:val="32"/>
          <w:rtl/>
          <w:lang w:bidi="ar-EG"/>
          <w14:textFill>
            <w14:solidFill>
              <w14:schemeClr w14:val="bg2">
                <w14:lumMod w14:val="100000"/>
                <w14:lumOff w14:val="0"/>
              </w14:schemeClr>
            </w14:solidFill>
          </w14:textFill>
        </w:rPr>
        <w:t>و الوكالة الخاصة لا خلاف في جوازها وأما العامة ففي صحتها وقبولها خلاف بين أهل العلم</w:t>
      </w:r>
    </w:p>
    <w:p w14:paraId="31DB4ACD">
      <w:pPr>
        <w:jc w:val="right"/>
        <w:rPr>
          <w:b w:val="0"/>
          <w:bCs w:val="0"/>
          <w:color w:val="E8E8E8" w:themeColor="background2" w:themeTint="FF"/>
          <w:sz w:val="32"/>
          <w:szCs w:val="32"/>
          <w:rtl/>
          <w:lang w:bidi="ar-EG"/>
          <w14:textFill>
            <w14:solidFill>
              <w14:schemeClr w14:val="bg2">
                <w14:lumMod w14:val="100000"/>
                <w14:lumOff w14:val="0"/>
              </w14:schemeClr>
            </w14:solidFill>
          </w14:textFill>
        </w:rPr>
      </w:pPr>
      <w:r>
        <w:rPr>
          <w:b w:val="0"/>
          <w:bCs w:val="0"/>
          <w:color w:val="E8E8E8" w:themeColor="background2" w:themeTint="FF"/>
          <w:sz w:val="32"/>
          <w:szCs w:val="32"/>
          <w:rtl/>
          <w:lang w:bidi="ar-EG"/>
          <w14:textFill>
            <w14:solidFill>
              <w14:schemeClr w14:val="bg2">
                <w14:lumMod w14:val="100000"/>
                <w14:lumOff w14:val="0"/>
              </w14:schemeClr>
            </w14:solidFill>
          </w14:textFill>
        </w:rPr>
        <w:t>جاء في كتاب الفقه الإسلامي وأدلته تصح الوكالة العامة عند الحنفية والمالكية لأنها تجوز في كل ما يملكه الموكل وفي كل ما تصح فيه النيابة من التصرفات المالية وغيرها وقال الشافعي والحنابلة لا تصح الوكالة العامة بما فيها من عظيم الغرر واتفق الفقهاء على جواز الوكالة الخاصة</w:t>
      </w:r>
      <w:r>
        <w:rPr>
          <w:b w:val="0"/>
          <w:bCs w:val="0"/>
          <w:color w:val="E8E8E8" w:themeColor="background2" w:themeTint="FF"/>
          <w:sz w:val="32"/>
          <w:szCs w:val="32"/>
          <w:lang w:bidi="ar-EG"/>
          <w14:textFill>
            <w14:solidFill>
              <w14:schemeClr w14:val="bg2">
                <w14:lumMod w14:val="100000"/>
                <w14:lumOff w14:val="0"/>
              </w14:schemeClr>
            </w14:solidFill>
          </w14:textFill>
        </w:rPr>
        <w:t xml:space="preserve"> </w:t>
      </w:r>
    </w:p>
    <w:sectPr>
      <w:headerReference r:id="rId5" w:type="default"/>
      <w:footerReference r:id="rId6" w:type="default"/>
      <w:pgSz w:w="11906" w:h="16838"/>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imSun"/>
    <w:panose1 w:val="020B0004020202020204"/>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0" w:type="auto"/>
      <w:tblInd w:w="0" w:type="dxa"/>
      <w:tblLayout w:type="fixed"/>
      <w:tblCellMar>
        <w:top w:w="0" w:type="dxa"/>
        <w:left w:w="108" w:type="dxa"/>
        <w:bottom w:w="0" w:type="dxa"/>
        <w:right w:w="108" w:type="dxa"/>
      </w:tblCellMar>
    </w:tblPr>
    <w:tblGrid>
      <w:gridCol w:w="3005"/>
      <w:gridCol w:w="3005"/>
      <w:gridCol w:w="3005"/>
    </w:tblGrid>
    <w:tr w14:paraId="02CE19A5">
      <w:tblPrEx>
        <w:tblCellMar>
          <w:top w:w="0" w:type="dxa"/>
          <w:left w:w="108" w:type="dxa"/>
          <w:bottom w:w="0" w:type="dxa"/>
          <w:right w:w="108" w:type="dxa"/>
        </w:tblCellMar>
      </w:tblPrEx>
      <w:trPr>
        <w:trHeight w:val="300" w:hRule="atLeast"/>
      </w:trPr>
      <w:tc>
        <w:tcPr>
          <w:tcW w:w="3005" w:type="dxa"/>
        </w:tcPr>
        <w:p w14:paraId="3D332633">
          <w:pPr>
            <w:pStyle w:val="4"/>
            <w:bidi w:val="0"/>
            <w:ind w:left="-115"/>
            <w:jc w:val="left"/>
          </w:pPr>
        </w:p>
      </w:tc>
      <w:tc>
        <w:tcPr>
          <w:tcW w:w="3005" w:type="dxa"/>
        </w:tcPr>
        <w:p w14:paraId="4DD3D685">
          <w:pPr>
            <w:pStyle w:val="4"/>
            <w:bidi w:val="0"/>
            <w:jc w:val="center"/>
          </w:pPr>
        </w:p>
      </w:tc>
      <w:tc>
        <w:tcPr>
          <w:tcW w:w="3005" w:type="dxa"/>
        </w:tcPr>
        <w:p w14:paraId="7ED3FEB8">
          <w:pPr>
            <w:pStyle w:val="4"/>
            <w:bidi w:val="0"/>
            <w:ind w:right="-115"/>
            <w:jc w:val="right"/>
          </w:pPr>
        </w:p>
      </w:tc>
    </w:tr>
  </w:tbl>
  <w:p w14:paraId="7AF35258">
    <w:pPr>
      <w:pStyle w:val="3"/>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9" w:lineRule="auto"/>
      </w:pPr>
      <w:r>
        <w:separator/>
      </w:r>
    </w:p>
  </w:footnote>
  <w:footnote w:type="continuationSeparator" w:id="1">
    <w:p>
      <w:pPr>
        <w:spacing w:before="0" w:after="0" w:line="27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0" w:type="auto"/>
      <w:tblInd w:w="0" w:type="dxa"/>
      <w:tblLayout w:type="fixed"/>
      <w:tblCellMar>
        <w:top w:w="0" w:type="dxa"/>
        <w:left w:w="108" w:type="dxa"/>
        <w:bottom w:w="0" w:type="dxa"/>
        <w:right w:w="108" w:type="dxa"/>
      </w:tblCellMar>
    </w:tblPr>
    <w:tblGrid>
      <w:gridCol w:w="3005"/>
      <w:gridCol w:w="3005"/>
      <w:gridCol w:w="3005"/>
    </w:tblGrid>
    <w:tr w14:paraId="5845C8CC">
      <w:tblPrEx>
        <w:tblCellMar>
          <w:top w:w="0" w:type="dxa"/>
          <w:left w:w="108" w:type="dxa"/>
          <w:bottom w:w="0" w:type="dxa"/>
          <w:right w:w="108" w:type="dxa"/>
        </w:tblCellMar>
      </w:tblPrEx>
      <w:trPr>
        <w:trHeight w:val="300" w:hRule="atLeast"/>
      </w:trPr>
      <w:tc>
        <w:tcPr>
          <w:tcW w:w="3005" w:type="dxa"/>
        </w:tcPr>
        <w:p w14:paraId="7E6ECD67">
          <w:pPr>
            <w:pStyle w:val="4"/>
            <w:bidi w:val="0"/>
            <w:ind w:left="-115"/>
            <w:jc w:val="left"/>
          </w:pPr>
        </w:p>
      </w:tc>
      <w:tc>
        <w:tcPr>
          <w:tcW w:w="3005" w:type="dxa"/>
        </w:tcPr>
        <w:p w14:paraId="71BE355E">
          <w:pPr>
            <w:pStyle w:val="4"/>
            <w:bidi w:val="0"/>
            <w:jc w:val="center"/>
          </w:pPr>
        </w:p>
      </w:tc>
      <w:tc>
        <w:tcPr>
          <w:tcW w:w="3005" w:type="dxa"/>
        </w:tcPr>
        <w:p w14:paraId="3C5FA529">
          <w:pPr>
            <w:pStyle w:val="4"/>
            <w:bidi w:val="0"/>
            <w:ind w:right="-115"/>
            <w:jc w:val="right"/>
          </w:pPr>
        </w:p>
      </w:tc>
    </w:tr>
  </w:tbl>
  <w:p w14:paraId="45114805">
    <w:pPr>
      <w:pStyle w:val="4"/>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A45E0C"/>
    <w:rsid w:val="00A91D89"/>
    <w:rsid w:val="00B64662"/>
    <w:rsid w:val="02CFB7A2"/>
    <w:rsid w:val="0332B080"/>
    <w:rsid w:val="0374DD2E"/>
    <w:rsid w:val="04191AE4"/>
    <w:rsid w:val="05A1C6F8"/>
    <w:rsid w:val="063D62FB"/>
    <w:rsid w:val="067FCDFC"/>
    <w:rsid w:val="06EFFEE5"/>
    <w:rsid w:val="07C1B85A"/>
    <w:rsid w:val="07D2BA99"/>
    <w:rsid w:val="07DAFC9F"/>
    <w:rsid w:val="083AD77C"/>
    <w:rsid w:val="0937A973"/>
    <w:rsid w:val="099B287D"/>
    <w:rsid w:val="09A1D40C"/>
    <w:rsid w:val="0A43FE3E"/>
    <w:rsid w:val="0B4855EE"/>
    <w:rsid w:val="0B548B70"/>
    <w:rsid w:val="0C5400D2"/>
    <w:rsid w:val="0C6EB963"/>
    <w:rsid w:val="0CF14E95"/>
    <w:rsid w:val="0D1679EF"/>
    <w:rsid w:val="0D377B70"/>
    <w:rsid w:val="0D8900B8"/>
    <w:rsid w:val="0DEF271B"/>
    <w:rsid w:val="0DFEEBD6"/>
    <w:rsid w:val="0E927850"/>
    <w:rsid w:val="0EA267D0"/>
    <w:rsid w:val="0F445D1B"/>
    <w:rsid w:val="0F9DCD62"/>
    <w:rsid w:val="10157A47"/>
    <w:rsid w:val="11356DDF"/>
    <w:rsid w:val="11F4C0D9"/>
    <w:rsid w:val="12A2F316"/>
    <w:rsid w:val="12B65022"/>
    <w:rsid w:val="141B5FBD"/>
    <w:rsid w:val="1492A3BA"/>
    <w:rsid w:val="14E52738"/>
    <w:rsid w:val="1586C409"/>
    <w:rsid w:val="159145DE"/>
    <w:rsid w:val="164FAA8F"/>
    <w:rsid w:val="167ED7E4"/>
    <w:rsid w:val="1683F11E"/>
    <w:rsid w:val="17153E83"/>
    <w:rsid w:val="177BA408"/>
    <w:rsid w:val="17F54B05"/>
    <w:rsid w:val="1836A297"/>
    <w:rsid w:val="18A5670C"/>
    <w:rsid w:val="194F804C"/>
    <w:rsid w:val="19C57307"/>
    <w:rsid w:val="19CECD06"/>
    <w:rsid w:val="19EB3280"/>
    <w:rsid w:val="1A3E7E9E"/>
    <w:rsid w:val="1AE4FB36"/>
    <w:rsid w:val="1C05A209"/>
    <w:rsid w:val="1C5D72CC"/>
    <w:rsid w:val="1C6493FD"/>
    <w:rsid w:val="1D515ADB"/>
    <w:rsid w:val="1D855E86"/>
    <w:rsid w:val="1DA5A783"/>
    <w:rsid w:val="1EB753C5"/>
    <w:rsid w:val="20AE404B"/>
    <w:rsid w:val="21FA0A28"/>
    <w:rsid w:val="226F6C81"/>
    <w:rsid w:val="22B6B1C1"/>
    <w:rsid w:val="24024D94"/>
    <w:rsid w:val="24637E1B"/>
    <w:rsid w:val="264069DC"/>
    <w:rsid w:val="26892DEE"/>
    <w:rsid w:val="27423C0F"/>
    <w:rsid w:val="282685BF"/>
    <w:rsid w:val="29644991"/>
    <w:rsid w:val="297029E0"/>
    <w:rsid w:val="2988ADC7"/>
    <w:rsid w:val="29A957FA"/>
    <w:rsid w:val="2ABA312B"/>
    <w:rsid w:val="2AD02DE9"/>
    <w:rsid w:val="2BB3691E"/>
    <w:rsid w:val="2BD6E731"/>
    <w:rsid w:val="2BF2EEBC"/>
    <w:rsid w:val="2C31DBC5"/>
    <w:rsid w:val="2C6EDE5C"/>
    <w:rsid w:val="2CF5A88B"/>
    <w:rsid w:val="2DC26A1C"/>
    <w:rsid w:val="2E59B38A"/>
    <w:rsid w:val="2EA07461"/>
    <w:rsid w:val="2EAAD757"/>
    <w:rsid w:val="2EBCE178"/>
    <w:rsid w:val="2F3944FD"/>
    <w:rsid w:val="30372352"/>
    <w:rsid w:val="3107DADB"/>
    <w:rsid w:val="31FC3E75"/>
    <w:rsid w:val="321BC707"/>
    <w:rsid w:val="32B8DC6D"/>
    <w:rsid w:val="34C0A449"/>
    <w:rsid w:val="35B3F8BB"/>
    <w:rsid w:val="369E2473"/>
    <w:rsid w:val="36C6818A"/>
    <w:rsid w:val="37A45E0C"/>
    <w:rsid w:val="37A9C484"/>
    <w:rsid w:val="3838E575"/>
    <w:rsid w:val="3842EDF1"/>
    <w:rsid w:val="39EBF9F4"/>
    <w:rsid w:val="39F98844"/>
    <w:rsid w:val="3A914D85"/>
    <w:rsid w:val="3AAB0FAD"/>
    <w:rsid w:val="3ABCCBF2"/>
    <w:rsid w:val="3C7DC648"/>
    <w:rsid w:val="3CA0D8EA"/>
    <w:rsid w:val="3D750113"/>
    <w:rsid w:val="3E1C387A"/>
    <w:rsid w:val="3E738E08"/>
    <w:rsid w:val="3F5246D5"/>
    <w:rsid w:val="3F6682B3"/>
    <w:rsid w:val="3FF4B61A"/>
    <w:rsid w:val="41A4DED7"/>
    <w:rsid w:val="42A94AF1"/>
    <w:rsid w:val="42C3407E"/>
    <w:rsid w:val="432D8A8A"/>
    <w:rsid w:val="436503EB"/>
    <w:rsid w:val="4416BAE4"/>
    <w:rsid w:val="4422AF6B"/>
    <w:rsid w:val="4669E4F2"/>
    <w:rsid w:val="4689A4ED"/>
    <w:rsid w:val="46D33057"/>
    <w:rsid w:val="4738F69B"/>
    <w:rsid w:val="48AC9EB3"/>
    <w:rsid w:val="4959C265"/>
    <w:rsid w:val="49CEB44B"/>
    <w:rsid w:val="4A55199E"/>
    <w:rsid w:val="4A63F4E0"/>
    <w:rsid w:val="4C9AD3A0"/>
    <w:rsid w:val="4C9E19A7"/>
    <w:rsid w:val="4E113E20"/>
    <w:rsid w:val="4F290FFA"/>
    <w:rsid w:val="51CCD3D8"/>
    <w:rsid w:val="5361A189"/>
    <w:rsid w:val="5450F5EA"/>
    <w:rsid w:val="54742785"/>
    <w:rsid w:val="54C5ED00"/>
    <w:rsid w:val="5557CA65"/>
    <w:rsid w:val="567F2D6E"/>
    <w:rsid w:val="568D4655"/>
    <w:rsid w:val="56A04453"/>
    <w:rsid w:val="574FC8CC"/>
    <w:rsid w:val="57A5CE4B"/>
    <w:rsid w:val="58E400CB"/>
    <w:rsid w:val="5A068989"/>
    <w:rsid w:val="5A7CE603"/>
    <w:rsid w:val="5A9AD65D"/>
    <w:rsid w:val="5C44E524"/>
    <w:rsid w:val="5D771B9A"/>
    <w:rsid w:val="5F93E4A7"/>
    <w:rsid w:val="605684EE"/>
    <w:rsid w:val="606BCBAD"/>
    <w:rsid w:val="611868CC"/>
    <w:rsid w:val="6179CFD0"/>
    <w:rsid w:val="634B9C6D"/>
    <w:rsid w:val="64391402"/>
    <w:rsid w:val="64947245"/>
    <w:rsid w:val="64D1DAF6"/>
    <w:rsid w:val="64D81239"/>
    <w:rsid w:val="6526B1B2"/>
    <w:rsid w:val="65860080"/>
    <w:rsid w:val="66C23B28"/>
    <w:rsid w:val="66E244A3"/>
    <w:rsid w:val="67043AFD"/>
    <w:rsid w:val="67AFAB6F"/>
    <w:rsid w:val="68F9F825"/>
    <w:rsid w:val="6920524C"/>
    <w:rsid w:val="69DB2C38"/>
    <w:rsid w:val="6AC7F3B0"/>
    <w:rsid w:val="6AF6FA59"/>
    <w:rsid w:val="6D2072CF"/>
    <w:rsid w:val="6DBC29AF"/>
    <w:rsid w:val="70C4A3C1"/>
    <w:rsid w:val="71CBBACD"/>
    <w:rsid w:val="72212F94"/>
    <w:rsid w:val="722B9E56"/>
    <w:rsid w:val="73066675"/>
    <w:rsid w:val="7336A565"/>
    <w:rsid w:val="73513A85"/>
    <w:rsid w:val="74FCB61F"/>
    <w:rsid w:val="750D5EA2"/>
    <w:rsid w:val="758013E4"/>
    <w:rsid w:val="75FBCD21"/>
    <w:rsid w:val="76BE9036"/>
    <w:rsid w:val="7778ADE3"/>
    <w:rsid w:val="77889A7D"/>
    <w:rsid w:val="77967E51"/>
    <w:rsid w:val="780B8AE6"/>
    <w:rsid w:val="7974B12F"/>
    <w:rsid w:val="7A320BC7"/>
    <w:rsid w:val="7BE3E459"/>
    <w:rsid w:val="7C1FAAC0"/>
    <w:rsid w:val="7D7ABE5D"/>
    <w:rsid w:val="7E1DFC98"/>
    <w:rsid w:val="7F43A7CD"/>
    <w:rsid w:val="7F586734"/>
    <w:rsid w:val="7FED099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sdException w:unhideWhenUsed="0" w:uiPriority="59" w:semiHidden="0" w:name="Table Grid"/>
  </w:latentStyles>
  <w:style w:type="paragraph" w:default="1" w:styleId="1">
    <w:name w:val="Normal"/>
    <w:qFormat/>
    <w:uiPriority w:val="0"/>
    <w:pPr>
      <w:spacing w:after="160" w:line="279" w:lineRule="auto"/>
    </w:pPr>
    <w:rPr>
      <w:rFonts w:asciiTheme="minorHAnsi" w:hAnsiTheme="minorHAnsi" w:eastAsiaTheme="minorHAnsi" w:cstheme="minorBidi"/>
      <w:sz w:val="24"/>
      <w:szCs w:val="24"/>
      <w:lang w:val="fr-FR" w:eastAsia="en-US" w:bidi="ar-SA"/>
    </w:rPr>
  </w:style>
  <w:style w:type="character" w:default="1" w:styleId="2">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unhideWhenUsed/>
    <w:qFormat/>
    <w:uiPriority w:val="99"/>
    <w:pPr>
      <w:tabs>
        <w:tab w:val="center" w:pos="4680"/>
        <w:tab w:val="right" w:pos="9360"/>
      </w:tabs>
      <w:spacing w:after="0" w:line="240" w:lineRule="auto"/>
    </w:pPr>
  </w:style>
  <w:style w:type="paragraph" w:styleId="4">
    <w:name w:val="header"/>
    <w:basedOn w:val="1"/>
    <w:unhideWhenUsed/>
    <w:uiPriority w:val="99"/>
    <w:pPr>
      <w:tabs>
        <w:tab w:val="center" w:pos="4680"/>
        <w:tab w:val="right" w:pos="9360"/>
      </w:tabs>
      <w:spacing w:after="0" w:line="240" w:lineRule="auto"/>
    </w:pPr>
  </w:style>
  <w:style w:type="table" w:styleId="6">
    <w:name w:val="Table Grid"/>
    <w:basedOn w:val="5"/>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TotalTime>0</TotalTime>
  <ScaleCrop>false</ScaleCrop>
  <LinksUpToDate>false</LinksUpToDate>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2024-12-20T12:04:00Z</dcterms:created>
  <dc:creator>Lotfi Boukhmis</dc:creator>
  <cp:lastModifiedBy>Dell 3198</cp:lastModifiedBy>
  <dcterms:modified xsi:type="dcterms:W3CDTF">2025-01-07T21:24:15Z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1036-12.2.0.19307</vt:lpwstr>
  </property>
  <property fmtid="{D5CDD505-2E9C-101B-9397-08002B2CF9AE}" pid="3" name="ICV">
    <vt:lpwstr>28AE32C1763F441AB55A9C7CF7B4C8C1_13</vt:lpwstr>
  </property>
</Properties>
</file>