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72F25">
      <w:pPr>
        <w:wordWrap w:val="0"/>
        <w:jc w:val="right"/>
        <w:rPr>
          <w:rFonts w:hint="cs" w:cstheme="minorBidi"/>
          <w:rtl/>
          <w:lang w:val="en-US" w:bidi="ar-DZ"/>
        </w:rPr>
      </w:pPr>
      <w:r>
        <w:rPr>
          <w:rFonts w:hint="cs" w:cstheme="minorBidi"/>
          <w:rtl/>
          <w:lang w:val="en-US" w:bidi="ar-DZ"/>
        </w:rPr>
        <w:t xml:space="preserve">   الاجابة النوذجية : لامتحان اساسيات المعاملات الاسلامية</w:t>
      </w:r>
    </w:p>
    <w:p w14:paraId="38D450EC">
      <w:pPr>
        <w:wordWrap w:val="0"/>
        <w:jc w:val="right"/>
        <w:rPr>
          <w:rFonts w:hint="default" w:cstheme="minorBidi"/>
          <w:rtl/>
          <w:lang w:val="en-US" w:bidi="ar-DZ"/>
        </w:rPr>
      </w:pPr>
      <w:r>
        <w:rPr>
          <w:rFonts w:hint="cs" w:cstheme="minorBidi"/>
          <w:rtl/>
          <w:lang w:val="en-US" w:bidi="ar-DZ"/>
        </w:rPr>
        <w:t>الجواب الاول:4 ن</w:t>
      </w:r>
      <w:bookmarkStart w:id="0" w:name="_GoBack"/>
      <w:bookmarkEnd w:id="0"/>
    </w:p>
    <w:p w14:paraId="4F81C034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الفقه الاسلامي: يسسعى إلى تقسيم المسائل المطروحة إلى أحد الاحكام التالية:</w:t>
      </w:r>
    </w:p>
    <w:p w14:paraId="22018084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1 الحرام: يتوافق مع الطلب من المكلفين الترك جزما، وبشكل تام؛</w:t>
      </w:r>
    </w:p>
    <w:p w14:paraId="676C9093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2 الجائز: يدل على التساوي بين جانب الفعل وجانب الترك؛</w:t>
      </w:r>
    </w:p>
    <w:p w14:paraId="0B3770F0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3 المندوب: يشير الى أنه يمكن الفعل ويمكن الترك، والفعل أولى؛</w:t>
      </w:r>
    </w:p>
    <w:p w14:paraId="66253F77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4 المكروه: يشير إلى أنه يمكن الفعل ويمكن الترك، والترك أولى.</w:t>
      </w:r>
    </w:p>
    <w:p w14:paraId="49219118">
      <w:pPr>
        <w:wordWrap w:val="0"/>
        <w:jc w:val="right"/>
        <w:rPr>
          <w:rFonts w:hint="default" w:cstheme="minorBidi"/>
          <w:rtl/>
          <w:lang w:val="en-US" w:bidi="ar-DZ"/>
        </w:rPr>
      </w:pPr>
      <w:r>
        <w:rPr>
          <w:rFonts w:hint="cs" w:cstheme="minorBidi"/>
          <w:rtl/>
          <w:lang w:val="en-US" w:bidi="ar-DZ"/>
        </w:rPr>
        <w:t>الجواب الثاني:  4 ن</w:t>
      </w:r>
    </w:p>
    <w:p w14:paraId="7A226D00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تعريف التكييف الشرعي: تحديد حقيقة الواقعة المستجدة لإلحاقها بأصل فقهي، خصه الفقه</w:t>
      </w:r>
    </w:p>
    <w:p w14:paraId="5B218FB3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الاسلامي بأوصاف فقهية، بقصد إعطاء تلك الاوصاف للواقعة المستجدة عند التحقق من </w:t>
      </w:r>
    </w:p>
    <w:p w14:paraId="680693E9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المجانسة والمشابهة بين الاصل والواقعة المستجدة في الحقيقة، وهذا بهدف إعطاء الحكم </w:t>
      </w:r>
    </w:p>
    <w:p w14:paraId="7849B576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الشرعي الصحيح لها.</w:t>
      </w:r>
    </w:p>
    <w:p w14:paraId="0C14DE32">
      <w:pPr>
        <w:wordWrap w:val="0"/>
        <w:jc w:val="right"/>
        <w:rPr>
          <w:rFonts w:hint="default" w:cstheme="minorBidi"/>
          <w:rtl/>
          <w:lang w:val="en-US" w:bidi="ar-DZ"/>
        </w:rPr>
      </w:pPr>
      <w:r>
        <w:rPr>
          <w:rFonts w:hint="cs" w:cstheme="minorBidi"/>
          <w:rtl/>
          <w:lang w:val="en-US" w:bidi="ar-DZ"/>
        </w:rPr>
        <w:t>الجواب الثالث:  4 ن</w:t>
      </w:r>
    </w:p>
    <w:p w14:paraId="501B2C40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والتجديد يكون بالاساس لتحقيق الغايات التالية:</w:t>
      </w:r>
    </w:p>
    <w:p w14:paraId="0EA58098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_ النشر والإحياء: أي التدارس المستمر لما في الكتاب والسنة، والسعي لنشره على نطاق واسع؛</w:t>
      </w:r>
    </w:p>
    <w:p w14:paraId="595BAAA0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_ الاضافة والإثراء: أي الاضافة لذات الشيء والاثراء من خلال الإضاح، بحيث يكون أكثر </w:t>
      </w:r>
    </w:p>
    <w:p w14:paraId="415D8F72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إفادة ونفع في ظل تجدد بيئته؛</w:t>
      </w:r>
    </w:p>
    <w:p w14:paraId="73A89DD5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_ الحذف والالغاء: حذف ما لحق به مما ليس منه بهدف إعادته إلى أصله.</w:t>
      </w:r>
    </w:p>
    <w:p w14:paraId="155E7394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الجواب الرابع: 4 ن</w:t>
      </w:r>
    </w:p>
    <w:p w14:paraId="3F3DC76B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لا يصح العقد الا بتوفر الشروط التالية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”</w:t>
      </w:r>
    </w:p>
    <w:p w14:paraId="5326118A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1: لا يصح العقد الا بتوفر الشروط التالية: البلوغ، العقل و الحرية والتملك للشيء المتصرف </w:t>
      </w:r>
    </w:p>
    <w:p w14:paraId="39063790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فيه و الرشد المنافي للتبذير؛</w:t>
      </w:r>
    </w:p>
    <w:p w14:paraId="62554F2A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2:  التراضي بين المتعاقدين؛</w:t>
      </w:r>
    </w:p>
    <w:p w14:paraId="72141D9D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3:  القصد لانجاز العقد جديا</w:t>
      </w:r>
    </w:p>
    <w:p w14:paraId="68E884E2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4:  صدور العقد من مالك المحل:</w:t>
      </w:r>
    </w:p>
    <w:p w14:paraId="7E8A46A4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5: أن يكون محل العقد مباحا؛</w:t>
      </w:r>
    </w:p>
    <w:p w14:paraId="57306995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6: ان يكون حل العقد علوما؛</w:t>
      </w:r>
    </w:p>
    <w:p w14:paraId="6FE4CA47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7: أن يكون الثمن علوما؛</w:t>
      </w:r>
    </w:p>
    <w:p w14:paraId="2500DED7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8: أن يتم نقل للمال والاشياء ذات القيمة:</w:t>
      </w:r>
    </w:p>
    <w:p w14:paraId="559F618F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9: عدم اكتساب المال من عصية؛</w:t>
      </w:r>
    </w:p>
    <w:p w14:paraId="1B7CB55C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10: تفادي الجهالة و الغرر؛</w:t>
      </w:r>
    </w:p>
    <w:p w14:paraId="6B285AA2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11: أن يكون راس المال عينا لا دينا.</w:t>
      </w:r>
    </w:p>
    <w:p w14:paraId="603A3118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الجواب الخامس:  4 ن</w:t>
      </w:r>
    </w:p>
    <w:p w14:paraId="2F560AEA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أهم الاسباب لعدم التمكن من تعريف الربا عند التعامل بالنقود الورقية بين البنوك </w:t>
      </w:r>
    </w:p>
    <w:p w14:paraId="0EEA8969">
      <w:pPr>
        <w:wordWrap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والافراد:</w:t>
      </w:r>
    </w:p>
    <w:p w14:paraId="36AD3699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هي ان النقود الورقية لا تحافض على قيمتها، فاذا حافضنا على القيمة فلا نحافض على العدد و عند المحافضة على العدد فلا نحافض على القيمة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plified Arabic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B076C"/>
    <w:rsid w:val="257D4E38"/>
    <w:rsid w:val="48126478"/>
    <w:rsid w:val="5885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2025-01-20T08:43:00Z</dcterms:created>
  <dc:creator>Dell 3198</dc:creator>
  <cp:lastModifiedBy>Dell 3198</cp:lastModifiedBy>
  <dcterms:modified xsi:type="dcterms:W3CDTF">2025-01-20T09:41:44Z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4CD8C61F90B549DEB7FA9D48EEE8DD23_12</vt:lpwstr>
  </property>
</Properties>
</file>