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46A52" w14:textId="678CBCF5" w:rsidR="00D700B7" w:rsidRDefault="00D700B7" w:rsidP="00D700B7">
      <w:pPr>
        <w:bidi/>
        <w:spacing w:line="240" w:lineRule="auto"/>
        <w:ind w:left="720" w:hanging="360"/>
        <w:jc w:val="center"/>
        <w:rPr>
          <w:sz w:val="32"/>
          <w:szCs w:val="32"/>
          <w:u w:val="single"/>
          <w:rtl/>
        </w:rPr>
      </w:pPr>
      <w:r w:rsidRPr="00D700B7">
        <w:rPr>
          <w:rFonts w:hint="cs"/>
          <w:sz w:val="32"/>
          <w:szCs w:val="32"/>
          <w:u w:val="single"/>
          <w:rtl/>
        </w:rPr>
        <w:t xml:space="preserve">دور </w:t>
      </w:r>
      <w:proofErr w:type="gramStart"/>
      <w:r w:rsidRPr="00D700B7">
        <w:rPr>
          <w:rFonts w:hint="cs"/>
          <w:sz w:val="32"/>
          <w:szCs w:val="32"/>
          <w:u w:val="single"/>
          <w:rtl/>
        </w:rPr>
        <w:t>الجامعة  كعنصر</w:t>
      </w:r>
      <w:proofErr w:type="gramEnd"/>
      <w:r w:rsidRPr="00D700B7">
        <w:rPr>
          <w:rFonts w:hint="cs"/>
          <w:sz w:val="32"/>
          <w:szCs w:val="32"/>
          <w:u w:val="single"/>
          <w:rtl/>
        </w:rPr>
        <w:t xml:space="preserve"> مهم في النظام البيئي لريادة الاع</w:t>
      </w:r>
      <w:r>
        <w:rPr>
          <w:rFonts w:hint="cs"/>
          <w:sz w:val="32"/>
          <w:szCs w:val="32"/>
          <w:u w:val="single"/>
          <w:rtl/>
        </w:rPr>
        <w:t>م</w:t>
      </w:r>
      <w:r w:rsidRPr="00D700B7">
        <w:rPr>
          <w:rFonts w:hint="cs"/>
          <w:sz w:val="32"/>
          <w:szCs w:val="32"/>
          <w:u w:val="single"/>
          <w:rtl/>
        </w:rPr>
        <w:t>ال</w:t>
      </w:r>
    </w:p>
    <w:p w14:paraId="1D39F87E" w14:textId="77777777" w:rsidR="00D700B7" w:rsidRPr="00D700B7" w:rsidRDefault="00D700B7" w:rsidP="00D700B7">
      <w:pPr>
        <w:bidi/>
        <w:spacing w:line="240" w:lineRule="auto"/>
        <w:ind w:left="720" w:hanging="360"/>
        <w:jc w:val="center"/>
        <w:rPr>
          <w:sz w:val="32"/>
          <w:szCs w:val="32"/>
          <w:u w:val="single"/>
        </w:rPr>
      </w:pPr>
    </w:p>
    <w:p w14:paraId="0080BCEB" w14:textId="0F27BC79" w:rsidR="00743461" w:rsidRPr="00D700B7" w:rsidRDefault="00743461" w:rsidP="00D700B7">
      <w:pPr>
        <w:pStyle w:val="Paragraphedeliste"/>
        <w:numPr>
          <w:ilvl w:val="0"/>
          <w:numId w:val="3"/>
        </w:numPr>
        <w:bidi/>
        <w:spacing w:line="240" w:lineRule="auto"/>
        <w:jc w:val="lowKashida"/>
        <w:rPr>
          <w:rFonts w:ascii="Traditional Arabic" w:hAnsi="Traditional Arabic" w:cs="Traditional Arabic"/>
          <w:b/>
          <w:bCs/>
          <w:sz w:val="28"/>
          <w:szCs w:val="28"/>
          <w:rtl/>
          <w:lang w:bidi="ar-DZ"/>
        </w:rPr>
      </w:pPr>
      <w:r w:rsidRPr="00D700B7">
        <w:rPr>
          <w:rFonts w:ascii="Traditional Arabic" w:hAnsi="Traditional Arabic" w:cs="Traditional Arabic"/>
          <w:b/>
          <w:bCs/>
          <w:sz w:val="28"/>
          <w:szCs w:val="28"/>
          <w:rtl/>
          <w:lang w:bidi="ar-DZ"/>
        </w:rPr>
        <w:t xml:space="preserve">توفير بيئة جامعية مشجعة على دعم وتطوير نية </w:t>
      </w:r>
      <w:proofErr w:type="spellStart"/>
      <w:r w:rsidRPr="00D700B7">
        <w:rPr>
          <w:rFonts w:ascii="Traditional Arabic" w:hAnsi="Traditional Arabic" w:cs="Traditional Arabic"/>
          <w:b/>
          <w:bCs/>
          <w:sz w:val="28"/>
          <w:szCs w:val="28"/>
          <w:rtl/>
          <w:lang w:bidi="ar-DZ"/>
        </w:rPr>
        <w:t>المقاولاتية</w:t>
      </w:r>
      <w:proofErr w:type="spellEnd"/>
      <w:r w:rsidRPr="00D700B7">
        <w:rPr>
          <w:rFonts w:ascii="Traditional Arabic" w:hAnsi="Traditional Arabic" w:cs="Traditional Arabic"/>
          <w:b/>
          <w:bCs/>
          <w:sz w:val="28"/>
          <w:szCs w:val="28"/>
          <w:rtl/>
          <w:lang w:bidi="ar-DZ"/>
        </w:rPr>
        <w:t>:</w:t>
      </w:r>
    </w:p>
    <w:p w14:paraId="65DC3040" w14:textId="77777777" w:rsidR="00743461" w:rsidRPr="00DB4AC0" w:rsidRDefault="00743461" w:rsidP="00743461">
      <w:pPr>
        <w:bidi/>
        <w:spacing w:line="240" w:lineRule="auto"/>
        <w:ind w:firstLine="509"/>
        <w:jc w:val="lowKashida"/>
        <w:rPr>
          <w:rFonts w:ascii="Traditional Arabic" w:hAnsi="Traditional Arabic" w:cs="Traditional Arabic"/>
          <w:sz w:val="28"/>
          <w:szCs w:val="28"/>
          <w:rtl/>
          <w:lang w:bidi="ar-DZ"/>
        </w:rPr>
      </w:pPr>
      <w:r w:rsidRPr="00DB4AC0">
        <w:rPr>
          <w:rFonts w:ascii="Traditional Arabic" w:hAnsi="Traditional Arabic" w:cs="Traditional Arabic"/>
          <w:sz w:val="28"/>
          <w:szCs w:val="28"/>
          <w:rtl/>
          <w:lang w:bidi="ar-DZ"/>
        </w:rPr>
        <w:t xml:space="preserve">تلعب الجامعات دورا بارزا بالنسبة للنية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فهي تعمل كنقطة اتصال أولى في تعزيز السمات والميول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بين الطلاب</w:t>
      </w:r>
      <w:r w:rsidRPr="00DB4AC0">
        <w:rPr>
          <w:rFonts w:ascii="Times New Roman" w:hAnsi="Times New Roman" w:cs="Times New Roman"/>
          <w:noProof/>
          <w:sz w:val="24"/>
          <w:szCs w:val="24"/>
          <w:lang w:bidi="ar-DZ"/>
        </w:rPr>
        <w:t xml:space="preserve"> (Mustafa, Hernandez, Mahon, &amp; Chee, 2016)</w:t>
      </w:r>
      <w:r w:rsidRPr="00DB4AC0">
        <w:rPr>
          <w:rFonts w:ascii="Traditional Arabic" w:hAnsi="Traditional Arabic" w:cs="Traditional Arabic"/>
          <w:sz w:val="28"/>
          <w:szCs w:val="28"/>
          <w:rtl/>
          <w:lang w:bidi="ar-DZ"/>
        </w:rPr>
        <w:t xml:space="preserve"> ، ويمكن العثور في بيئة الجامعة على دورات وبرامج تدريبية حول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إضافة إلى الخدمات التي يتم إنشاؤها لتعزيز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w:t>
      </w:r>
      <w:r w:rsidRPr="00DB4AC0">
        <w:rPr>
          <w:rFonts w:ascii="Times New Roman" w:hAnsi="Times New Roman" w:cs="Times New Roman"/>
          <w:noProof/>
          <w:sz w:val="24"/>
          <w:szCs w:val="24"/>
          <w:lang w:bidi="ar-DZ"/>
        </w:rPr>
        <w:t xml:space="preserve"> (Laguia, Jaén, &amp; Moriano, 2019)</w:t>
      </w:r>
      <w:r w:rsidRPr="00DB4AC0">
        <w:rPr>
          <w:rFonts w:ascii="Traditional Arabic" w:hAnsi="Traditional Arabic" w:cs="Traditional Arabic"/>
          <w:sz w:val="28"/>
          <w:szCs w:val="28"/>
          <w:rtl/>
          <w:lang w:bidi="ar-DZ"/>
        </w:rPr>
        <w:t xml:space="preserve">، ويعتبر بيكر ومارتن سنة 1975 من دعا إلى النظر في تفسير أكثر لديناميكية رأس المال البشري في مجال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من خلال دراسة العلاقة بين استثمارات رأس المال البشري في التعليم الخاص </w:t>
      </w:r>
      <w:proofErr w:type="spellStart"/>
      <w:r w:rsidRPr="00DB4AC0">
        <w:rPr>
          <w:rFonts w:ascii="Traditional Arabic" w:hAnsi="Traditional Arabic" w:cs="Traditional Arabic"/>
          <w:sz w:val="28"/>
          <w:szCs w:val="28"/>
          <w:rtl/>
          <w:lang w:bidi="ar-DZ"/>
        </w:rPr>
        <w:t>بالمقاولاتية</w:t>
      </w:r>
      <w:proofErr w:type="spellEnd"/>
      <w:r w:rsidRPr="00DB4AC0">
        <w:rPr>
          <w:rFonts w:ascii="Traditional Arabic" w:hAnsi="Traditional Arabic" w:cs="Traditional Arabic"/>
          <w:sz w:val="28"/>
          <w:szCs w:val="28"/>
          <w:rtl/>
          <w:lang w:bidi="ar-DZ"/>
        </w:rPr>
        <w:t xml:space="preserve">، حيث يمكّن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الطلاب من تجميع مجموعة من الأصول من أجل الانخراط في العملية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من خلال صقل مهارات رأس المال البشري التي يمكن أن تسهّل تكامل وتراكم المعرفة الجديدة وتحفيز نية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والميل إلى الانخراط في سلوك مقاولاتي أو  التفكير في إنشاء مؤسسة جديدة</w:t>
      </w:r>
      <w:r w:rsidRPr="00DB4AC0">
        <w:rPr>
          <w:rFonts w:ascii="Traditional Arabic" w:hAnsi="Traditional Arabic" w:cs="Traditional Arabic"/>
          <w:noProof/>
          <w:sz w:val="28"/>
          <w:szCs w:val="28"/>
          <w:lang w:val="en-US" w:bidi="ar-DZ"/>
        </w:rPr>
        <w:t xml:space="preserve"> (</w:t>
      </w:r>
      <w:r w:rsidRPr="00DB4AC0">
        <w:rPr>
          <w:rFonts w:ascii="Times New Roman" w:hAnsi="Times New Roman" w:cs="Times New Roman"/>
          <w:noProof/>
          <w:sz w:val="24"/>
          <w:szCs w:val="24"/>
          <w:lang w:val="en-US" w:bidi="ar-DZ"/>
        </w:rPr>
        <w:t>Matlay &amp; Solesvik, 2014</w:t>
      </w:r>
      <w:r w:rsidRPr="00DB4AC0">
        <w:rPr>
          <w:rFonts w:ascii="Traditional Arabic" w:hAnsi="Traditional Arabic" w:cs="Traditional Arabic"/>
          <w:noProof/>
          <w:sz w:val="28"/>
          <w:szCs w:val="28"/>
          <w:lang w:val="en-US" w:bidi="ar-DZ"/>
        </w:rPr>
        <w:t>)</w:t>
      </w:r>
      <w:r w:rsidRPr="00DB4AC0">
        <w:rPr>
          <w:rFonts w:ascii="Traditional Arabic" w:hAnsi="Traditional Arabic" w:cs="Traditional Arabic"/>
          <w:sz w:val="28"/>
          <w:szCs w:val="28"/>
          <w:lang w:bidi="ar-DZ"/>
        </w:rPr>
        <w:t xml:space="preserve"> </w:t>
      </w:r>
      <w:r w:rsidRPr="00DB4AC0">
        <w:rPr>
          <w:rFonts w:ascii="Traditional Arabic" w:hAnsi="Traditional Arabic" w:cs="Traditional Arabic" w:hint="cs"/>
          <w:sz w:val="28"/>
          <w:szCs w:val="28"/>
          <w:rtl/>
          <w:lang w:bidi="ar-DZ"/>
        </w:rPr>
        <w:t>.</w:t>
      </w:r>
    </w:p>
    <w:p w14:paraId="4B33FFE3" w14:textId="77777777" w:rsidR="00743461" w:rsidRPr="00DB4AC0" w:rsidRDefault="00743461" w:rsidP="00743461">
      <w:pPr>
        <w:bidi/>
        <w:spacing w:line="240" w:lineRule="auto"/>
        <w:ind w:firstLine="509"/>
        <w:jc w:val="lowKashida"/>
        <w:rPr>
          <w:rFonts w:ascii="Traditional Arabic" w:hAnsi="Traditional Arabic" w:cs="Traditional Arabic"/>
          <w:sz w:val="28"/>
          <w:szCs w:val="28"/>
          <w:rtl/>
          <w:lang w:bidi="ar-DZ"/>
        </w:rPr>
      </w:pPr>
      <w:r w:rsidRPr="00DB4AC0">
        <w:rPr>
          <w:rFonts w:ascii="Traditional Arabic" w:hAnsi="Traditional Arabic" w:cs="Traditional Arabic"/>
          <w:sz w:val="28"/>
          <w:szCs w:val="28"/>
          <w:rtl/>
          <w:lang w:bidi="ar-DZ"/>
        </w:rPr>
        <w:t xml:space="preserve">إذ يعتبر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hint="cs"/>
          <w:sz w:val="28"/>
          <w:szCs w:val="28"/>
          <w:rtl/>
          <w:lang w:bidi="ar-DZ"/>
        </w:rPr>
        <w:t xml:space="preserve"> </w:t>
      </w:r>
      <w:r w:rsidRPr="00DB4AC0">
        <w:rPr>
          <w:rFonts w:ascii="Traditional Arabic" w:hAnsi="Traditional Arabic" w:cs="Traditional Arabic"/>
          <w:sz w:val="28"/>
          <w:szCs w:val="28"/>
          <w:rtl/>
          <w:lang w:bidi="ar-DZ"/>
        </w:rPr>
        <w:t xml:space="preserve">الوسيلة الأساسية التي </w:t>
      </w:r>
      <w:r w:rsidRPr="00DB4AC0">
        <w:rPr>
          <w:rFonts w:ascii="Traditional Arabic" w:hAnsi="Traditional Arabic" w:cs="Traditional Arabic" w:hint="cs"/>
          <w:sz w:val="28"/>
          <w:szCs w:val="28"/>
          <w:rtl/>
          <w:lang w:bidi="ar-DZ"/>
        </w:rPr>
        <w:t>ت</w:t>
      </w:r>
      <w:r w:rsidRPr="00DB4AC0">
        <w:rPr>
          <w:rFonts w:ascii="Traditional Arabic" w:hAnsi="Traditional Arabic" w:cs="Traditional Arabic"/>
          <w:sz w:val="28"/>
          <w:szCs w:val="28"/>
          <w:rtl/>
          <w:lang w:bidi="ar-DZ"/>
        </w:rPr>
        <w:t xml:space="preserve">مكن </w:t>
      </w:r>
      <w:r w:rsidRPr="00DB4AC0">
        <w:rPr>
          <w:rFonts w:ascii="Traditional Arabic" w:hAnsi="Traditional Arabic" w:cs="Traditional Arabic" w:hint="cs"/>
          <w:sz w:val="28"/>
          <w:szCs w:val="28"/>
          <w:rtl/>
          <w:lang w:bidi="ar-DZ"/>
        </w:rPr>
        <w:t>ا</w:t>
      </w:r>
      <w:r w:rsidRPr="00DB4AC0">
        <w:rPr>
          <w:rFonts w:ascii="Traditional Arabic" w:hAnsi="Traditional Arabic" w:cs="Traditional Arabic"/>
          <w:sz w:val="28"/>
          <w:szCs w:val="28"/>
          <w:rtl/>
          <w:lang w:bidi="ar-DZ"/>
        </w:rPr>
        <w:t xml:space="preserve">لجامعات زيادة وعي الطلاب بالتوجه نحو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hint="cs"/>
          <w:sz w:val="28"/>
          <w:szCs w:val="28"/>
          <w:rtl/>
          <w:lang w:bidi="ar-DZ"/>
        </w:rPr>
        <w:t>،</w:t>
      </w:r>
      <w:r w:rsidRPr="00DB4AC0">
        <w:rPr>
          <w:rFonts w:ascii="Traditional Arabic" w:hAnsi="Traditional Arabic" w:cs="Traditional Arabic"/>
          <w:sz w:val="28"/>
          <w:szCs w:val="28"/>
          <w:rtl/>
          <w:lang w:bidi="ar-DZ"/>
        </w:rPr>
        <w:t xml:space="preserve"> وذلك من خلال البرامج التعليمية، ويتكون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من أي برنامج تعليمي أو عملية تعليمية لمواقف ومهارات تنظيم المشاريع </w:t>
      </w:r>
      <w:r w:rsidRPr="00DB4AC0">
        <w:rPr>
          <w:rFonts w:ascii="Times New Roman" w:hAnsi="Times New Roman" w:cs="Times New Roman"/>
          <w:noProof/>
          <w:sz w:val="24"/>
          <w:szCs w:val="24"/>
          <w:lang w:bidi="ar-DZ"/>
        </w:rPr>
        <w:t>(Tae, Shanshan, Chao Miao, &amp; James O. Fiet, 2014)</w:t>
      </w:r>
      <w:r w:rsidRPr="00DB4AC0">
        <w:rPr>
          <w:rFonts w:ascii="Traditional Arabic" w:hAnsi="Traditional Arabic" w:cs="Traditional Arabic"/>
          <w:sz w:val="28"/>
          <w:szCs w:val="28"/>
          <w:rtl/>
          <w:lang w:bidi="ar-DZ"/>
        </w:rPr>
        <w:t xml:space="preserve"> ، وقد عدّد العلماء مجموعة من أنواع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حسب الأفراد المستهدفين: فالتعليم من أجل التوعية مخصص للطلاب الذين لا يملكون أية خبرة في بدء مشروع تجاري والغرض من التوعية هو السماح للطلاب بتطوير مهارات تنظيم المشاريع، ومساعدتهم في اختيار عمل مناسب. وتهدف معظم البرامج على مستوى الجامعة على زيادة الوعي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وإعداد مقاولين طموحين، وتعتبر أكثر الطرق فاعلية لتزويد الأفراد بالمعرفة والمهارات والمواقف اللازمة في السعي وراء مهنة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w:t>
      </w:r>
      <w:r w:rsidRPr="00DB4AC0">
        <w:rPr>
          <w:rFonts w:ascii="Traditional Arabic" w:hAnsi="Traditional Arabic" w:cs="Traditional Arabic"/>
          <w:noProof/>
          <w:sz w:val="28"/>
          <w:szCs w:val="28"/>
          <w:lang w:bidi="ar-DZ"/>
        </w:rPr>
        <w:t>(</w:t>
      </w:r>
      <w:r w:rsidRPr="00DB4AC0">
        <w:rPr>
          <w:rFonts w:ascii="Times New Roman" w:hAnsi="Times New Roman" w:cs="Times New Roman"/>
          <w:noProof/>
          <w:sz w:val="24"/>
          <w:szCs w:val="24"/>
          <w:lang w:bidi="ar-DZ"/>
        </w:rPr>
        <w:t>Csilla &amp; all, 2017</w:t>
      </w:r>
      <w:r w:rsidRPr="00DB4AC0">
        <w:rPr>
          <w:rFonts w:ascii="Traditional Arabic" w:hAnsi="Traditional Arabic" w:cs="Traditional Arabic"/>
          <w:noProof/>
          <w:sz w:val="28"/>
          <w:szCs w:val="28"/>
          <w:lang w:bidi="ar-DZ"/>
        </w:rPr>
        <w:t>)</w:t>
      </w:r>
      <w:r w:rsidRPr="00DB4AC0">
        <w:rPr>
          <w:rFonts w:ascii="Traditional Arabic" w:hAnsi="Traditional Arabic" w:cs="Traditional Arabic"/>
          <w:sz w:val="28"/>
          <w:szCs w:val="28"/>
          <w:rtl/>
          <w:lang w:bidi="ar-DZ"/>
        </w:rPr>
        <w:t xml:space="preserve">، فالغرض من التعلم ليس فقط التدريس حول زيادة وعي الطلاب حول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ولكن على الأقل أن يكونوا مقاولين من حيث الجوهر ويجب أن يتضمن جوانب المعرفة والمهارات وسلوك العمل</w:t>
      </w:r>
      <w:r w:rsidRPr="00DB4AC0">
        <w:rPr>
          <w:rFonts w:ascii="Traditional Arabic" w:hAnsi="Traditional Arabic" w:cs="Traditional Arabic"/>
          <w:noProof/>
          <w:sz w:val="28"/>
          <w:szCs w:val="28"/>
          <w:rtl/>
          <w:lang w:bidi="ar-DZ"/>
        </w:rPr>
        <w:t xml:space="preserve"> </w:t>
      </w:r>
      <w:r w:rsidRPr="00DB4AC0">
        <w:rPr>
          <w:rFonts w:ascii="Traditional Arabic" w:hAnsi="Traditional Arabic" w:cs="Traditional Arabic"/>
          <w:noProof/>
          <w:sz w:val="28"/>
          <w:szCs w:val="28"/>
          <w:lang w:bidi="ar-DZ"/>
        </w:rPr>
        <w:t>(</w:t>
      </w:r>
      <w:r w:rsidRPr="00DB4AC0">
        <w:rPr>
          <w:rFonts w:ascii="Times New Roman" w:hAnsi="Times New Roman" w:cs="Times New Roman"/>
          <w:noProof/>
          <w:sz w:val="24"/>
          <w:szCs w:val="24"/>
          <w:lang w:bidi="ar-DZ"/>
        </w:rPr>
        <w:t>Sukardi, 2017)</w:t>
      </w:r>
      <w:r w:rsidRPr="00DB4AC0">
        <w:rPr>
          <w:rFonts w:ascii="Times New Roman" w:hAnsi="Times New Roman" w:cs="Times New Roman"/>
          <w:sz w:val="24"/>
          <w:szCs w:val="24"/>
          <w:rtl/>
          <w:lang w:bidi="ar-DZ"/>
        </w:rPr>
        <w:t>.</w:t>
      </w:r>
      <w:r w:rsidRPr="00DB4AC0">
        <w:rPr>
          <w:rFonts w:ascii="Times New Roman" w:hAnsi="Times New Roman" w:cs="Times New Roman" w:hint="cs"/>
          <w:sz w:val="24"/>
          <w:szCs w:val="24"/>
          <w:rtl/>
          <w:lang w:bidi="ar-DZ"/>
        </w:rPr>
        <w:t xml:space="preserve"> </w:t>
      </w:r>
      <w:r w:rsidRPr="00DB4AC0">
        <w:rPr>
          <w:rFonts w:ascii="Traditional Arabic" w:hAnsi="Traditional Arabic" w:cs="Traditional Arabic"/>
          <w:sz w:val="28"/>
          <w:szCs w:val="28"/>
          <w:rtl/>
          <w:lang w:bidi="ar-DZ"/>
        </w:rPr>
        <w:t xml:space="preserve">وإلى جانب الدعم التعليمي، يمكن للجامعات أن تدعم النوايا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للطلاب من خلال خلق بيئة مواتية </w:t>
      </w:r>
      <w:proofErr w:type="spellStart"/>
      <w:r w:rsidRPr="00DB4AC0">
        <w:rPr>
          <w:rFonts w:ascii="Traditional Arabic" w:hAnsi="Traditional Arabic" w:cs="Traditional Arabic"/>
          <w:sz w:val="28"/>
          <w:szCs w:val="28"/>
          <w:rtl/>
          <w:lang w:bidi="ar-DZ"/>
        </w:rPr>
        <w:t>للمقاولاتية</w:t>
      </w:r>
      <w:proofErr w:type="spellEnd"/>
      <w:r w:rsidRPr="00DB4AC0">
        <w:rPr>
          <w:rFonts w:ascii="Traditional Arabic" w:hAnsi="Traditional Arabic" w:cs="Traditional Arabic"/>
          <w:sz w:val="28"/>
          <w:szCs w:val="28"/>
          <w:rtl/>
          <w:lang w:bidi="ar-DZ"/>
        </w:rPr>
        <w:t xml:space="preserve"> والتي تختلف من جامعة إلى أخرى من حيث تكوينها وتميل غالبا إلى ضمان الدعم في مجالات محددة كالتسويق أو المحاسبة</w:t>
      </w:r>
      <w:r w:rsidRPr="00DB4AC0">
        <w:rPr>
          <w:rFonts w:ascii="Traditional Arabic" w:hAnsi="Traditional Arabic" w:cs="Traditional Arabic" w:hint="cs"/>
          <w:sz w:val="28"/>
          <w:szCs w:val="28"/>
          <w:rtl/>
          <w:lang w:bidi="ar-DZ"/>
        </w:rPr>
        <w:t xml:space="preserve"> </w:t>
      </w:r>
      <w:proofErr w:type="gramStart"/>
      <w:r w:rsidRPr="00DB4AC0">
        <w:rPr>
          <w:rFonts w:ascii="Traditional Arabic" w:hAnsi="Traditional Arabic" w:cs="Traditional Arabic" w:hint="cs"/>
          <w:sz w:val="28"/>
          <w:szCs w:val="28"/>
          <w:rtl/>
          <w:lang w:bidi="ar-DZ"/>
        </w:rPr>
        <w:t>و إدارة</w:t>
      </w:r>
      <w:proofErr w:type="gramEnd"/>
      <w:r w:rsidRPr="00DB4AC0">
        <w:rPr>
          <w:rFonts w:ascii="Traditional Arabic" w:hAnsi="Traditional Arabic" w:cs="Traditional Arabic" w:hint="cs"/>
          <w:sz w:val="28"/>
          <w:szCs w:val="28"/>
          <w:rtl/>
          <w:lang w:bidi="ar-DZ"/>
        </w:rPr>
        <w:t xml:space="preserve"> الأعمال</w:t>
      </w:r>
      <w:r w:rsidRPr="00DB4AC0">
        <w:rPr>
          <w:rFonts w:ascii="Traditional Arabic" w:hAnsi="Traditional Arabic" w:cs="Traditional Arabic"/>
          <w:sz w:val="28"/>
          <w:szCs w:val="28"/>
          <w:rtl/>
          <w:lang w:bidi="ar-DZ"/>
        </w:rPr>
        <w:t xml:space="preserve">، وعموما تمنح هذه البيئات الداعمة الطلاب الثقة لبدء مشروعهم التجاري الخاص </w:t>
      </w:r>
      <w:r w:rsidRPr="00DB4AC0">
        <w:rPr>
          <w:rFonts w:ascii="Traditional Arabic" w:hAnsi="Traditional Arabic" w:cs="Traditional Arabic"/>
          <w:noProof/>
          <w:sz w:val="28"/>
          <w:szCs w:val="28"/>
          <w:lang w:bidi="ar-DZ"/>
        </w:rPr>
        <w:t>(</w:t>
      </w:r>
      <w:r w:rsidRPr="00DB4AC0">
        <w:rPr>
          <w:rFonts w:ascii="Times New Roman" w:hAnsi="Times New Roman" w:cs="Times New Roman"/>
          <w:noProof/>
          <w:sz w:val="24"/>
          <w:szCs w:val="24"/>
          <w:lang w:bidi="ar-DZ"/>
        </w:rPr>
        <w:t>Bazan, Gillespie, &amp; al, 2019)</w:t>
      </w:r>
      <w:r w:rsidRPr="00DB4AC0">
        <w:rPr>
          <w:rFonts w:ascii="Traditional Arabic" w:hAnsi="Traditional Arabic" w:cs="Traditional Arabic"/>
          <w:sz w:val="28"/>
          <w:szCs w:val="28"/>
          <w:rtl/>
          <w:lang w:bidi="ar-DZ"/>
        </w:rPr>
        <w:t>. إن وجود بيئة داعمة وحده ليس شرطًا كافيًا لرفع نوايا الطلاب في تنظيم المشاريع</w:t>
      </w:r>
      <w:r w:rsidRPr="00DB4AC0">
        <w:rPr>
          <w:rFonts w:ascii="Traditional Arabic" w:hAnsi="Traditional Arabic" w:cs="Traditional Arabic" w:hint="cs"/>
          <w:sz w:val="28"/>
          <w:szCs w:val="28"/>
          <w:rtl/>
          <w:lang w:bidi="ar-DZ"/>
        </w:rPr>
        <w:t>؛</w:t>
      </w:r>
      <w:r w:rsidRPr="00DB4AC0">
        <w:rPr>
          <w:rFonts w:ascii="Traditional Arabic" w:hAnsi="Traditional Arabic" w:cs="Traditional Arabic"/>
          <w:sz w:val="28"/>
          <w:szCs w:val="28"/>
          <w:rtl/>
          <w:lang w:bidi="ar-DZ"/>
        </w:rPr>
        <w:t xml:space="preserve"> </w:t>
      </w:r>
      <w:r w:rsidRPr="00DB4AC0">
        <w:rPr>
          <w:rFonts w:ascii="Traditional Arabic" w:hAnsi="Traditional Arabic" w:cs="Traditional Arabic" w:hint="cs"/>
          <w:sz w:val="28"/>
          <w:szCs w:val="28"/>
          <w:rtl/>
          <w:lang w:bidi="ar-DZ"/>
        </w:rPr>
        <w:t xml:space="preserve">إذ من </w:t>
      </w:r>
      <w:r w:rsidRPr="00DB4AC0">
        <w:rPr>
          <w:rFonts w:ascii="Traditional Arabic" w:hAnsi="Traditional Arabic" w:cs="Traditional Arabic"/>
          <w:sz w:val="28"/>
          <w:szCs w:val="28"/>
          <w:rtl/>
          <w:lang w:bidi="ar-DZ"/>
        </w:rPr>
        <w:t>الض</w:t>
      </w:r>
      <w:r w:rsidRPr="00DB4AC0">
        <w:rPr>
          <w:rFonts w:ascii="Traditional Arabic" w:hAnsi="Traditional Arabic" w:cs="Traditional Arabic" w:hint="cs"/>
          <w:sz w:val="28"/>
          <w:szCs w:val="28"/>
          <w:rtl/>
          <w:lang w:bidi="ar-DZ"/>
        </w:rPr>
        <w:t>روري</w:t>
      </w:r>
      <w:r w:rsidRPr="00DB4AC0">
        <w:rPr>
          <w:rFonts w:ascii="Traditional Arabic" w:hAnsi="Traditional Arabic" w:cs="Traditional Arabic"/>
          <w:sz w:val="28"/>
          <w:szCs w:val="28"/>
          <w:rtl/>
          <w:lang w:bidi="ar-DZ"/>
        </w:rPr>
        <w:t xml:space="preserve"> قياس مدى تأثيرها على الطلاب من خلال قياس تصوراتهم للدعم الجامعي الذي يتلقونه.</w:t>
      </w:r>
    </w:p>
    <w:p w14:paraId="24EC7757" w14:textId="58E8C645" w:rsidR="00743461" w:rsidRPr="00D700B7" w:rsidRDefault="00743461" w:rsidP="00D700B7">
      <w:pPr>
        <w:pStyle w:val="Paragraphedeliste"/>
        <w:numPr>
          <w:ilvl w:val="0"/>
          <w:numId w:val="2"/>
        </w:numPr>
        <w:bidi/>
        <w:spacing w:line="240" w:lineRule="auto"/>
        <w:jc w:val="lowKashida"/>
        <w:rPr>
          <w:rFonts w:ascii="Traditional Arabic" w:hAnsi="Traditional Arabic" w:cs="Traditional Arabic"/>
          <w:b/>
          <w:bCs/>
          <w:sz w:val="28"/>
          <w:szCs w:val="28"/>
          <w:rtl/>
          <w:lang w:bidi="ar-DZ"/>
        </w:rPr>
      </w:pPr>
      <w:r w:rsidRPr="00D700B7">
        <w:rPr>
          <w:rFonts w:ascii="Traditional Arabic" w:hAnsi="Traditional Arabic" w:cs="Traditional Arabic"/>
          <w:b/>
          <w:bCs/>
          <w:sz w:val="28"/>
          <w:szCs w:val="28"/>
          <w:rtl/>
          <w:lang w:bidi="ar-DZ"/>
        </w:rPr>
        <w:t>تأثير أساليب التدريس المعتمدة من طرف الأساتذة:</w:t>
      </w:r>
    </w:p>
    <w:p w14:paraId="1EAB1036" w14:textId="77777777" w:rsidR="00743461" w:rsidRPr="00DB4AC0" w:rsidRDefault="00743461" w:rsidP="00743461">
      <w:pPr>
        <w:bidi/>
        <w:spacing w:line="240" w:lineRule="auto"/>
        <w:ind w:firstLine="509"/>
        <w:jc w:val="lowKashida"/>
        <w:rPr>
          <w:rFonts w:ascii="Traditional Arabic" w:hAnsi="Traditional Arabic" w:cs="Traditional Arabic"/>
          <w:b/>
          <w:bCs/>
          <w:sz w:val="28"/>
          <w:szCs w:val="28"/>
          <w:rtl/>
          <w:lang w:bidi="ar-DZ"/>
        </w:rPr>
      </w:pPr>
      <w:r w:rsidRPr="00DB4AC0">
        <w:rPr>
          <w:rFonts w:ascii="Traditional Arabic" w:hAnsi="Traditional Arabic" w:cs="Traditional Arabic"/>
          <w:sz w:val="28"/>
          <w:szCs w:val="28"/>
          <w:rtl/>
          <w:lang w:bidi="ar-DZ"/>
        </w:rPr>
        <w:t xml:space="preserve">لقد أشارت العديد من الدراسات السابقة إلى دور الدعم التعليمي المتصور كمحدد لنية تنظيم المشاريع، واتفق الباحثون على أنّ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هو وسيلة فعالة لتزويد الطلاب بالمعرفة اللازمة حول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hint="cs"/>
          <w:sz w:val="28"/>
          <w:szCs w:val="28"/>
          <w:rtl/>
          <w:lang w:bidi="ar-DZ"/>
        </w:rPr>
        <w:t xml:space="preserve">، </w:t>
      </w:r>
      <w:r w:rsidRPr="00DB4AC0">
        <w:rPr>
          <w:rFonts w:ascii="Traditional Arabic" w:hAnsi="Traditional Arabic" w:cs="Traditional Arabic"/>
          <w:sz w:val="28"/>
          <w:szCs w:val="28"/>
          <w:rtl/>
          <w:lang w:bidi="ar-DZ"/>
        </w:rPr>
        <w:t xml:space="preserve">واختيارهم لهذه المهنة في المستقبل </w:t>
      </w:r>
      <w:r w:rsidRPr="00DB4AC0">
        <w:rPr>
          <w:rFonts w:ascii="Traditional Arabic" w:hAnsi="Traditional Arabic" w:cs="Traditional Arabic"/>
          <w:noProof/>
          <w:sz w:val="28"/>
          <w:szCs w:val="28"/>
          <w:rtl/>
          <w:lang w:bidi="ar-DZ"/>
        </w:rPr>
        <w:t>(عليلي و ماحي ، 2019)</w:t>
      </w:r>
      <w:r w:rsidRPr="00DB4AC0">
        <w:rPr>
          <w:rFonts w:ascii="Traditional Arabic" w:hAnsi="Traditional Arabic" w:cs="Traditional Arabic"/>
          <w:sz w:val="28"/>
          <w:szCs w:val="28"/>
          <w:rtl/>
          <w:lang w:bidi="ar-DZ"/>
        </w:rPr>
        <w:t xml:space="preserve">، إذ يهدف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إلى جعل الطلبة قادرين على تسيير مشاريعهم الخاصة</w:t>
      </w:r>
      <w:r w:rsidRPr="00DB4AC0">
        <w:rPr>
          <w:rFonts w:ascii="Traditional Arabic" w:hAnsi="Traditional Arabic" w:cs="Traditional Arabic" w:hint="cs"/>
          <w:sz w:val="28"/>
          <w:szCs w:val="28"/>
          <w:rtl/>
          <w:lang w:bidi="ar-DZ"/>
        </w:rPr>
        <w:t>،</w:t>
      </w:r>
      <w:r w:rsidRPr="00DB4AC0">
        <w:rPr>
          <w:rFonts w:ascii="Traditional Arabic" w:hAnsi="Traditional Arabic" w:cs="Traditional Arabic"/>
          <w:sz w:val="28"/>
          <w:szCs w:val="28"/>
          <w:rtl/>
          <w:lang w:bidi="ar-DZ"/>
        </w:rPr>
        <w:t xml:space="preserve"> من خلال مقرّر دراسي ملائم، حيث يقوم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على بيداغوجية تعليمية وليس مجرد معلومات مقدمة ضمن المقررات التعليمية </w:t>
      </w:r>
      <w:r w:rsidRPr="00DB4AC0">
        <w:rPr>
          <w:rFonts w:ascii="Traditional Arabic" w:hAnsi="Traditional Arabic" w:cs="Traditional Arabic"/>
          <w:noProof/>
          <w:sz w:val="28"/>
          <w:szCs w:val="28"/>
          <w:rtl/>
          <w:lang w:bidi="ar-DZ"/>
        </w:rPr>
        <w:t>(هاملي و حوحو ، 2019)</w:t>
      </w:r>
      <w:r w:rsidRPr="00DB4AC0">
        <w:rPr>
          <w:rFonts w:ascii="Traditional Arabic" w:hAnsi="Traditional Arabic" w:cs="Traditional Arabic" w:hint="cs"/>
          <w:noProof/>
          <w:sz w:val="28"/>
          <w:szCs w:val="28"/>
          <w:rtl/>
          <w:lang w:bidi="ar-DZ"/>
        </w:rPr>
        <w:t xml:space="preserve">.كما </w:t>
      </w:r>
      <w:r w:rsidRPr="00DB4AC0">
        <w:rPr>
          <w:rFonts w:ascii="Traditional Arabic" w:hAnsi="Traditional Arabic" w:cs="Traditional Arabic"/>
          <w:sz w:val="28"/>
          <w:szCs w:val="28"/>
          <w:rtl/>
          <w:lang w:bidi="ar-DZ"/>
        </w:rPr>
        <w:t xml:space="preserve">يمكن تعريف التعليم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على أنّه مجموعة الطرق التعليمية والتدريبية النظامية وغير النظامية</w:t>
      </w:r>
      <w:r w:rsidRPr="00DB4AC0">
        <w:rPr>
          <w:rFonts w:ascii="Traditional Arabic" w:hAnsi="Traditional Arabic" w:cs="Traditional Arabic" w:hint="cs"/>
          <w:sz w:val="28"/>
          <w:szCs w:val="28"/>
          <w:rtl/>
          <w:lang w:bidi="ar-DZ"/>
        </w:rPr>
        <w:t>،</w:t>
      </w:r>
      <w:r w:rsidRPr="00DB4AC0">
        <w:rPr>
          <w:rFonts w:ascii="Traditional Arabic" w:hAnsi="Traditional Arabic" w:cs="Traditional Arabic"/>
          <w:sz w:val="28"/>
          <w:szCs w:val="28"/>
          <w:rtl/>
          <w:lang w:bidi="ar-DZ"/>
        </w:rPr>
        <w:t xml:space="preserve"> التي تهدف إلى </w:t>
      </w:r>
      <w:r w:rsidRPr="00DB4AC0">
        <w:rPr>
          <w:rFonts w:ascii="Traditional Arabic" w:hAnsi="Traditional Arabic" w:cs="Traditional Arabic"/>
          <w:sz w:val="28"/>
          <w:szCs w:val="28"/>
          <w:rtl/>
          <w:lang w:bidi="ar-DZ"/>
        </w:rPr>
        <w:lastRenderedPageBreak/>
        <w:t>تكوين أي فرد يملك رغبة المساهمة في التنمية الاقتصادية والاجتماعية</w:t>
      </w:r>
      <w:r w:rsidRPr="00DB4AC0">
        <w:rPr>
          <w:rFonts w:ascii="Traditional Arabic" w:hAnsi="Traditional Arabic" w:cs="Traditional Arabic" w:hint="cs"/>
          <w:sz w:val="28"/>
          <w:szCs w:val="28"/>
          <w:rtl/>
          <w:lang w:bidi="ar-DZ"/>
        </w:rPr>
        <w:t>،</w:t>
      </w:r>
      <w:r w:rsidRPr="00DB4AC0">
        <w:rPr>
          <w:rFonts w:ascii="Traditional Arabic" w:hAnsi="Traditional Arabic" w:cs="Traditional Arabic"/>
          <w:sz w:val="28"/>
          <w:szCs w:val="28"/>
          <w:rtl/>
          <w:lang w:bidi="ar-DZ"/>
        </w:rPr>
        <w:t xml:space="preserve"> من خلال برنامج يهدف إلى الرفع من مستوى الوعي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sz w:val="28"/>
          <w:szCs w:val="28"/>
          <w:rtl/>
          <w:lang w:bidi="ar-DZ"/>
        </w:rPr>
        <w:t xml:space="preserve"> ويدفع الفرد إلى إنشاء مشاريع أعمال خاصة.</w:t>
      </w:r>
      <w:r w:rsidRPr="00DB4AC0">
        <w:rPr>
          <w:rFonts w:ascii="Traditional Arabic" w:hAnsi="Traditional Arabic" w:cs="Traditional Arabic"/>
          <w:noProof/>
          <w:sz w:val="28"/>
          <w:szCs w:val="28"/>
          <w:rtl/>
          <w:lang w:bidi="ar-DZ"/>
        </w:rPr>
        <w:t xml:space="preserve"> (بن الشيخ ، 2021)</w:t>
      </w:r>
    </w:p>
    <w:p w14:paraId="2399A5A9" w14:textId="60F25FC2" w:rsidR="00743461" w:rsidRPr="00D700B7" w:rsidRDefault="00D700B7" w:rsidP="00D700B7">
      <w:pPr>
        <w:pStyle w:val="Paragraphedeliste"/>
        <w:numPr>
          <w:ilvl w:val="0"/>
          <w:numId w:val="1"/>
        </w:numPr>
        <w:bidi/>
        <w:spacing w:line="240" w:lineRule="auto"/>
        <w:jc w:val="lowKashida"/>
        <w:rPr>
          <w:rFonts w:ascii="Traditional Arabic" w:hAnsi="Traditional Arabic" w:cs="Traditional Arabic"/>
          <w:b/>
          <w:bCs/>
          <w:sz w:val="28"/>
          <w:szCs w:val="28"/>
          <w:rtl/>
          <w:lang w:bidi="ar-DZ"/>
        </w:rPr>
      </w:pPr>
      <w:r w:rsidRPr="00D700B7">
        <w:rPr>
          <w:rFonts w:ascii="Traditional Arabic" w:hAnsi="Traditional Arabic" w:cs="Traditional Arabic" w:hint="cs"/>
          <w:b/>
          <w:bCs/>
          <w:sz w:val="28"/>
          <w:szCs w:val="28"/>
          <w:rtl/>
          <w:lang w:bidi="ar-DZ"/>
        </w:rPr>
        <w:t>م</w:t>
      </w:r>
      <w:r w:rsidR="00743461" w:rsidRPr="00D700B7">
        <w:rPr>
          <w:rFonts w:ascii="Traditional Arabic" w:hAnsi="Traditional Arabic" w:cs="Traditional Arabic"/>
          <w:b/>
          <w:bCs/>
          <w:sz w:val="28"/>
          <w:szCs w:val="28"/>
          <w:rtl/>
          <w:lang w:bidi="ar-DZ"/>
        </w:rPr>
        <w:t>حتوى المناهج التعليمية:</w:t>
      </w:r>
    </w:p>
    <w:p w14:paraId="58750728" w14:textId="77777777" w:rsidR="00743461" w:rsidRPr="00DB4AC0" w:rsidRDefault="00743461" w:rsidP="00743461">
      <w:pPr>
        <w:bidi/>
        <w:spacing w:line="240" w:lineRule="auto"/>
        <w:ind w:firstLine="509"/>
        <w:jc w:val="lowKashida"/>
        <w:rPr>
          <w:rFonts w:ascii="Traditional Arabic" w:hAnsi="Traditional Arabic" w:cs="Traditional Arabic"/>
          <w:sz w:val="28"/>
          <w:szCs w:val="28"/>
          <w:rtl/>
          <w:lang w:bidi="ar-DZ"/>
        </w:rPr>
      </w:pPr>
      <w:r w:rsidRPr="00DB4AC0">
        <w:rPr>
          <w:rFonts w:ascii="Traditional Arabic" w:hAnsi="Traditional Arabic" w:cs="Traditional Arabic"/>
          <w:sz w:val="28"/>
          <w:szCs w:val="28"/>
          <w:rtl/>
          <w:lang w:bidi="ar-DZ"/>
        </w:rPr>
        <w:t xml:space="preserve">قام الأستاذ </w:t>
      </w:r>
      <w:proofErr w:type="spellStart"/>
      <w:r w:rsidRPr="00DB4AC0">
        <w:rPr>
          <w:rFonts w:ascii="Times New Roman" w:hAnsi="Times New Roman" w:cs="Times New Roman"/>
          <w:sz w:val="24"/>
          <w:szCs w:val="24"/>
          <w:lang w:bidi="ar-DZ"/>
        </w:rPr>
        <w:t>Myles</w:t>
      </w:r>
      <w:proofErr w:type="spellEnd"/>
      <w:r w:rsidRPr="00DB4AC0">
        <w:rPr>
          <w:rFonts w:ascii="Times New Roman" w:hAnsi="Times New Roman" w:cs="Times New Roman"/>
          <w:sz w:val="24"/>
          <w:szCs w:val="24"/>
          <w:lang w:bidi="ar-DZ"/>
        </w:rPr>
        <w:t xml:space="preserve"> Mace</w:t>
      </w:r>
      <w:r w:rsidRPr="00DB4AC0">
        <w:rPr>
          <w:rFonts w:ascii="Traditional Arabic" w:hAnsi="Traditional Arabic" w:cs="Traditional Arabic"/>
          <w:sz w:val="28"/>
          <w:szCs w:val="28"/>
          <w:rtl/>
          <w:lang w:bidi="ar-DZ"/>
        </w:rPr>
        <w:t xml:space="preserve"> بفتح أول منهج </w:t>
      </w:r>
      <w:proofErr w:type="spellStart"/>
      <w:r w:rsidRPr="00DB4AC0">
        <w:rPr>
          <w:rFonts w:ascii="Traditional Arabic" w:hAnsi="Traditional Arabic" w:cs="Traditional Arabic"/>
          <w:sz w:val="28"/>
          <w:szCs w:val="28"/>
          <w:rtl/>
          <w:lang w:bidi="ar-DZ"/>
        </w:rPr>
        <w:t>للمقاولاتية</w:t>
      </w:r>
      <w:proofErr w:type="spellEnd"/>
      <w:r w:rsidRPr="00DB4AC0">
        <w:rPr>
          <w:rFonts w:ascii="Traditional Arabic" w:hAnsi="Traditional Arabic" w:cs="Traditional Arabic"/>
          <w:sz w:val="28"/>
          <w:szCs w:val="28"/>
          <w:rtl/>
          <w:lang w:bidi="ar-DZ"/>
        </w:rPr>
        <w:t xml:space="preserve"> بجامعة هارفارد سنة 1947 تحت اسم "إدارة المشاريع الجديدة" وقد نال ذلك المقرّر إعجاب وانتباه 188 طالب من طلاب الفرقة الثانية لدرجة الماجستير في إدارة الأعمال والبالغ عددهم 600طالب</w:t>
      </w:r>
      <w:r w:rsidRPr="00DB4AC0">
        <w:rPr>
          <w:rFonts w:ascii="Traditional Arabic" w:hAnsi="Traditional Arabic" w:cs="Traditional Arabic"/>
          <w:noProof/>
          <w:sz w:val="28"/>
          <w:szCs w:val="28"/>
          <w:rtl/>
          <w:lang w:bidi="ar-DZ"/>
        </w:rPr>
        <w:t xml:space="preserve"> (أبو القاسم ، بن بدرة ، وبن برطال ، 2019)</w:t>
      </w:r>
      <w:r w:rsidRPr="00DB4AC0">
        <w:rPr>
          <w:rFonts w:ascii="Traditional Arabic" w:hAnsi="Traditional Arabic" w:cs="Traditional Arabic" w:hint="cs"/>
          <w:noProof/>
          <w:sz w:val="28"/>
          <w:szCs w:val="28"/>
          <w:rtl/>
          <w:lang w:bidi="ar-DZ"/>
        </w:rPr>
        <w:t>.</w:t>
      </w:r>
      <w:r w:rsidRPr="00DB4AC0">
        <w:rPr>
          <w:rFonts w:ascii="Traditional Arabic" w:hAnsi="Traditional Arabic" w:cs="Traditional Arabic"/>
          <w:sz w:val="28"/>
          <w:szCs w:val="28"/>
          <w:rtl/>
          <w:lang w:bidi="ar-DZ"/>
        </w:rPr>
        <w:t xml:space="preserve"> أمّا حاليا فتقدّم أكثر من 3000 جامعة في جميع أنحاء العالم مناهج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من خلال تدريس المعرفة النظرية وتوفير مجموعة أدوات لبدء عمل تجاري والتي تسمح للطلاب بتجربة أنشطة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hint="cs"/>
          <w:sz w:val="28"/>
          <w:szCs w:val="28"/>
          <w:rtl/>
          <w:lang w:bidi="ar-DZ"/>
        </w:rPr>
        <w:t>؛</w:t>
      </w:r>
      <w:r w:rsidRPr="00DB4AC0">
        <w:rPr>
          <w:rFonts w:ascii="Traditional Arabic" w:hAnsi="Traditional Arabic" w:cs="Traditional Arabic"/>
          <w:sz w:val="28"/>
          <w:szCs w:val="28"/>
          <w:rtl/>
          <w:lang w:bidi="ar-DZ"/>
        </w:rPr>
        <w:t xml:space="preserve"> وهذا يساعد على تعميم المعرفة وتعزيز الأفكار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بالإضافة إلى تحفيز الوعي </w:t>
      </w:r>
      <w:proofErr w:type="spellStart"/>
      <w:r w:rsidRPr="00DB4AC0">
        <w:rPr>
          <w:rFonts w:ascii="Traditional Arabic" w:hAnsi="Traditional Arabic" w:cs="Traditional Arabic"/>
          <w:sz w:val="28"/>
          <w:szCs w:val="28"/>
          <w:rtl/>
          <w:lang w:bidi="ar-DZ"/>
        </w:rPr>
        <w:t>المقاولاتي</w:t>
      </w:r>
      <w:proofErr w:type="spellEnd"/>
      <w:r w:rsidRPr="00DB4AC0">
        <w:rPr>
          <w:rFonts w:ascii="Traditional Arabic" w:hAnsi="Traditional Arabic" w:cs="Traditional Arabic"/>
          <w:noProof/>
          <w:sz w:val="28"/>
          <w:szCs w:val="28"/>
          <w:rtl/>
          <w:lang w:bidi="ar-DZ"/>
        </w:rPr>
        <w:t xml:space="preserve"> </w:t>
      </w:r>
      <w:r w:rsidRPr="00DB4AC0">
        <w:rPr>
          <w:rFonts w:ascii="Times New Roman" w:hAnsi="Times New Roman" w:cs="Times New Roman"/>
          <w:noProof/>
          <w:sz w:val="24"/>
          <w:szCs w:val="24"/>
          <w:lang w:bidi="ar-DZ"/>
        </w:rPr>
        <w:t>(Huang, Zhang, &amp; all, 2021</w:t>
      </w:r>
      <w:r w:rsidRPr="00DB4AC0">
        <w:rPr>
          <w:rFonts w:ascii="Traditional Arabic" w:hAnsi="Traditional Arabic" w:cs="Traditional Arabic"/>
          <w:noProof/>
          <w:sz w:val="28"/>
          <w:szCs w:val="28"/>
          <w:lang w:bidi="ar-DZ"/>
        </w:rPr>
        <w:t>)</w:t>
      </w:r>
      <w:r w:rsidRPr="00DB4AC0">
        <w:rPr>
          <w:rFonts w:ascii="Traditional Arabic" w:hAnsi="Traditional Arabic" w:cs="Traditional Arabic"/>
          <w:sz w:val="28"/>
          <w:szCs w:val="28"/>
          <w:rtl/>
          <w:lang w:bidi="ar-DZ"/>
        </w:rPr>
        <w:t>، وقد أشار (</w:t>
      </w:r>
      <w:r w:rsidRPr="00DB4AC0">
        <w:rPr>
          <w:rFonts w:ascii="Times New Roman" w:hAnsi="Times New Roman" w:cs="Times New Roman"/>
          <w:sz w:val="24"/>
          <w:szCs w:val="24"/>
          <w:lang w:bidi="ar-DZ"/>
        </w:rPr>
        <w:t xml:space="preserve">Akola &amp; </w:t>
      </w:r>
      <w:proofErr w:type="spellStart"/>
      <w:r w:rsidRPr="00DB4AC0">
        <w:rPr>
          <w:rFonts w:ascii="Times New Roman" w:hAnsi="Times New Roman" w:cs="Times New Roman"/>
          <w:sz w:val="24"/>
          <w:szCs w:val="24"/>
          <w:lang w:bidi="ar-DZ"/>
        </w:rPr>
        <w:t>Heinonen</w:t>
      </w:r>
      <w:proofErr w:type="spellEnd"/>
      <w:r w:rsidRPr="00DB4AC0">
        <w:rPr>
          <w:rFonts w:ascii="Traditional Arabic" w:hAnsi="Traditional Arabic" w:cs="Traditional Arabic"/>
          <w:sz w:val="28"/>
          <w:szCs w:val="28"/>
          <w:lang w:bidi="ar-DZ"/>
        </w:rPr>
        <w:t xml:space="preserve"> 2006</w:t>
      </w:r>
      <w:r w:rsidRPr="00DB4AC0">
        <w:rPr>
          <w:rFonts w:ascii="Traditional Arabic" w:hAnsi="Traditional Arabic" w:cs="Traditional Arabic"/>
          <w:sz w:val="28"/>
          <w:szCs w:val="28"/>
          <w:rtl/>
          <w:lang w:bidi="ar-DZ"/>
        </w:rPr>
        <w:t>)</w:t>
      </w:r>
      <w:r w:rsidRPr="00DB4AC0">
        <w:rPr>
          <w:rFonts w:ascii="Traditional Arabic" w:hAnsi="Traditional Arabic" w:cs="Traditional Arabic"/>
          <w:sz w:val="28"/>
          <w:szCs w:val="28"/>
          <w:rtl/>
        </w:rPr>
        <w:t xml:space="preserve"> أنّه يجب التفرقة بين </w:t>
      </w:r>
      <w:proofErr w:type="spellStart"/>
      <w:r w:rsidRPr="00DB4AC0">
        <w:rPr>
          <w:rFonts w:ascii="Traditional Arabic" w:hAnsi="Traditional Arabic" w:cs="Traditional Arabic"/>
          <w:sz w:val="28"/>
          <w:szCs w:val="28"/>
          <w:rtl/>
        </w:rPr>
        <w:t>المقاولاتية</w:t>
      </w:r>
      <w:proofErr w:type="spellEnd"/>
      <w:r w:rsidRPr="00DB4AC0">
        <w:rPr>
          <w:rFonts w:ascii="Traditional Arabic" w:hAnsi="Traditional Arabic" w:cs="Traditional Arabic"/>
          <w:sz w:val="28"/>
          <w:szCs w:val="28"/>
          <w:rtl/>
        </w:rPr>
        <w:t xml:space="preserve"> كعلم وكفن حيث أنّ الجانب العلمي </w:t>
      </w:r>
      <w:proofErr w:type="spellStart"/>
      <w:r w:rsidRPr="00DB4AC0">
        <w:rPr>
          <w:rFonts w:ascii="Traditional Arabic" w:hAnsi="Traditional Arabic" w:cs="Traditional Arabic"/>
          <w:sz w:val="28"/>
          <w:szCs w:val="28"/>
          <w:rtl/>
        </w:rPr>
        <w:t>للمقاولاتية</w:t>
      </w:r>
      <w:proofErr w:type="spellEnd"/>
      <w:r w:rsidRPr="00DB4AC0">
        <w:rPr>
          <w:rFonts w:ascii="Traditional Arabic" w:hAnsi="Traditional Arabic" w:cs="Traditional Arabic"/>
          <w:sz w:val="28"/>
          <w:szCs w:val="28"/>
          <w:rtl/>
        </w:rPr>
        <w:t xml:space="preserve"> يتضمن مفاهيم العمل والتقنيات الإدارية التي يمكن اكتسابها عن طريق التعلم، أمّا الشق الثاني يتعلق بالمفاهيم المرتبطة بالإبداع والتفكير الابتكاري وهي غير قابلة للتعلم إلا عن طريق الخبرة العملية</w:t>
      </w:r>
      <w:r w:rsidRPr="00DB4AC0">
        <w:rPr>
          <w:rFonts w:ascii="Traditional Arabic" w:hAnsi="Traditional Arabic" w:cs="Traditional Arabic"/>
          <w:noProof/>
          <w:sz w:val="28"/>
          <w:szCs w:val="28"/>
          <w:rtl/>
          <w:lang w:bidi="ar-DZ"/>
        </w:rPr>
        <w:t xml:space="preserve"> (هاملي و حوحو ، 2019)</w:t>
      </w:r>
      <w:r w:rsidRPr="00DB4AC0">
        <w:rPr>
          <w:rFonts w:ascii="Traditional Arabic" w:hAnsi="Traditional Arabic" w:cs="Traditional Arabic" w:hint="cs"/>
          <w:noProof/>
          <w:sz w:val="28"/>
          <w:szCs w:val="28"/>
          <w:rtl/>
          <w:lang w:bidi="ar-DZ"/>
        </w:rPr>
        <w:t>.</w:t>
      </w:r>
      <w:r w:rsidRPr="00DB4AC0">
        <w:rPr>
          <w:rFonts w:ascii="Traditional Arabic" w:hAnsi="Traditional Arabic" w:cs="Traditional Arabic"/>
          <w:sz w:val="28"/>
          <w:szCs w:val="28"/>
          <w:lang w:bidi="ar-DZ"/>
        </w:rPr>
        <w:t xml:space="preserve"> </w:t>
      </w:r>
      <w:r w:rsidRPr="00DB4AC0">
        <w:rPr>
          <w:rFonts w:ascii="Traditional Arabic" w:hAnsi="Traditional Arabic" w:cs="Traditional Arabic"/>
          <w:sz w:val="28"/>
          <w:szCs w:val="28"/>
          <w:rtl/>
          <w:lang w:bidi="ar-DZ"/>
        </w:rPr>
        <w:t xml:space="preserve">وفي الآونة الأخيرة أصبح الاتجاه المتزايد في تعليم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من خلال تطوير برامج الأعمال المختلطة (</w:t>
      </w:r>
      <w:proofErr w:type="spellStart"/>
      <w:r w:rsidRPr="00DB4AC0">
        <w:rPr>
          <w:rFonts w:ascii="Times New Roman" w:hAnsi="Times New Roman" w:cs="Times New Roman"/>
          <w:sz w:val="24"/>
          <w:szCs w:val="24"/>
          <w:lang w:bidi="ar-DZ"/>
        </w:rPr>
        <w:t>BEPs</w:t>
      </w:r>
      <w:proofErr w:type="spellEnd"/>
      <w:r w:rsidRPr="00DB4AC0">
        <w:rPr>
          <w:rFonts w:ascii="Traditional Arabic" w:hAnsi="Traditional Arabic" w:cs="Traditional Arabic"/>
          <w:sz w:val="28"/>
          <w:szCs w:val="28"/>
          <w:rtl/>
          <w:lang w:bidi="ar-DZ"/>
        </w:rPr>
        <w:t>)</w:t>
      </w:r>
      <w:r w:rsidRPr="00DB4AC0">
        <w:rPr>
          <w:rFonts w:ascii="Traditional Arabic" w:hAnsi="Traditional Arabic" w:cs="Traditional Arabic" w:hint="cs"/>
          <w:sz w:val="28"/>
          <w:szCs w:val="28"/>
          <w:rtl/>
          <w:lang w:bidi="ar-DZ"/>
        </w:rPr>
        <w:t>،</w:t>
      </w:r>
      <w:r w:rsidRPr="00DB4AC0">
        <w:rPr>
          <w:rFonts w:ascii="Traditional Arabic" w:hAnsi="Traditional Arabic" w:cs="Traditional Arabic"/>
          <w:sz w:val="28"/>
          <w:szCs w:val="28"/>
          <w:rtl/>
          <w:lang w:bidi="ar-DZ"/>
        </w:rPr>
        <w:t xml:space="preserve"> وهي برامج تدمج مناهج ريادة الأعمال مع شهادة فنية تقع خارج إعدادات مدارس الأعمال التقليدية </w:t>
      </w:r>
      <w:r w:rsidRPr="00DB4AC0">
        <w:rPr>
          <w:rFonts w:ascii="Times New Roman" w:hAnsi="Times New Roman" w:cs="Times New Roman"/>
          <w:noProof/>
          <w:sz w:val="24"/>
          <w:szCs w:val="24"/>
          <w:lang w:val="en-US" w:bidi="ar-DZ"/>
        </w:rPr>
        <w:t>(Turner &amp; Gianiodis, 2019)</w:t>
      </w:r>
    </w:p>
    <w:p w14:paraId="1CA05D4E" w14:textId="00F17067" w:rsidR="00743461" w:rsidRPr="00DB4AC0" w:rsidRDefault="00743461" w:rsidP="00743461">
      <w:pPr>
        <w:bidi/>
        <w:spacing w:line="240" w:lineRule="auto"/>
        <w:jc w:val="lowKashida"/>
        <w:rPr>
          <w:rFonts w:ascii="Traditional Arabic" w:hAnsi="Traditional Arabic" w:cs="Traditional Arabic"/>
          <w:b/>
          <w:bCs/>
          <w:sz w:val="28"/>
          <w:szCs w:val="28"/>
          <w:rtl/>
          <w:lang w:bidi="ar-DZ"/>
        </w:rPr>
      </w:pPr>
      <w:r w:rsidRPr="00DB4AC0">
        <w:rPr>
          <w:rFonts w:ascii="Traditional Arabic" w:hAnsi="Traditional Arabic" w:cs="Traditional Arabic"/>
          <w:b/>
          <w:bCs/>
          <w:sz w:val="28"/>
          <w:szCs w:val="28"/>
          <w:rtl/>
          <w:lang w:bidi="ar-DZ"/>
        </w:rPr>
        <w:t>-تأثير زملاء الدراسة في الجامعة:</w:t>
      </w:r>
    </w:p>
    <w:p w14:paraId="00E7904D" w14:textId="4F282FA9" w:rsidR="00DC0196" w:rsidRDefault="00743461" w:rsidP="00743461">
      <w:pPr>
        <w:bidi/>
      </w:pPr>
      <w:r w:rsidRPr="00DB4AC0">
        <w:rPr>
          <w:rFonts w:ascii="Traditional Arabic" w:hAnsi="Traditional Arabic" w:cs="Traditional Arabic"/>
          <w:sz w:val="28"/>
          <w:szCs w:val="28"/>
          <w:rtl/>
          <w:lang w:bidi="ar-DZ"/>
        </w:rPr>
        <w:t>يعتبر المحيط الاجتماعي عنصرا مهما في الدفع نحو إنشاء مؤسسة وذلك نظرا لتركيبته المعقدة</w:t>
      </w:r>
      <w:r w:rsidRPr="00DB4AC0">
        <w:rPr>
          <w:rFonts w:ascii="Traditional Arabic" w:hAnsi="Traditional Arabic" w:cs="Traditional Arabic"/>
          <w:noProof/>
          <w:sz w:val="28"/>
          <w:szCs w:val="28"/>
          <w:rtl/>
          <w:lang w:bidi="ar-DZ"/>
        </w:rPr>
        <w:t xml:space="preserve"> </w:t>
      </w:r>
      <w:r w:rsidRPr="00DB4AC0">
        <w:rPr>
          <w:rFonts w:ascii="Traditional Arabic" w:hAnsi="Traditional Arabic" w:cs="Traditional Arabic" w:hint="cs"/>
          <w:noProof/>
          <w:sz w:val="28"/>
          <w:szCs w:val="28"/>
          <w:rtl/>
          <w:lang w:bidi="ar-DZ"/>
        </w:rPr>
        <w:t xml:space="preserve"> </w:t>
      </w:r>
      <w:r w:rsidRPr="00DB4AC0">
        <w:rPr>
          <w:rFonts w:ascii="Traditional Arabic" w:hAnsi="Traditional Arabic" w:cs="Traditional Arabic"/>
          <w:noProof/>
          <w:sz w:val="28"/>
          <w:szCs w:val="28"/>
          <w:rtl/>
          <w:lang w:bidi="ar-DZ"/>
        </w:rPr>
        <w:t>(بن سيرود و بن سيرود، 2019)</w:t>
      </w:r>
      <w:r w:rsidRPr="00DB4AC0">
        <w:rPr>
          <w:rFonts w:ascii="Traditional Arabic" w:hAnsi="Traditional Arabic" w:cs="Traditional Arabic"/>
          <w:sz w:val="28"/>
          <w:szCs w:val="28"/>
          <w:rtl/>
          <w:lang w:bidi="ar-DZ"/>
        </w:rPr>
        <w:t xml:space="preserve"> ، حيث أثبتت نماذج الأدوار  مع المقارنة الاجتماعية أنّ النية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تتأثر  بالبيئة الأسرية</w:t>
      </w:r>
      <w:r w:rsidRPr="00DB4AC0">
        <w:rPr>
          <w:rFonts w:ascii="Traditional Arabic" w:hAnsi="Traditional Arabic" w:cs="Traditional Arabic" w:hint="cs"/>
          <w:sz w:val="28"/>
          <w:szCs w:val="28"/>
          <w:rtl/>
          <w:lang w:bidi="ar-DZ"/>
        </w:rPr>
        <w:t xml:space="preserve">، </w:t>
      </w:r>
      <w:r w:rsidRPr="00DB4AC0">
        <w:rPr>
          <w:rFonts w:ascii="Traditional Arabic" w:hAnsi="Traditional Arabic" w:cs="Traditional Arabic"/>
          <w:sz w:val="28"/>
          <w:szCs w:val="28"/>
          <w:rtl/>
          <w:lang w:bidi="ar-DZ"/>
        </w:rPr>
        <w:t xml:space="preserve"> وزعمت عديد الدراسات أنّه لا يمكن فقط للبيئة الأسرية أن تمارس تأثيرًا إيجابيًا، ولكن الأصدقاء والزملاء مهمة أيضا في خلق النية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من خلال نقل معرفتهم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b/>
          <w:bCs/>
          <w:sz w:val="28"/>
          <w:szCs w:val="28"/>
          <w:rtl/>
          <w:lang w:bidi="ar-DZ"/>
        </w:rPr>
        <w:t xml:space="preserve"> </w:t>
      </w:r>
      <w:r w:rsidRPr="00DB4AC0">
        <w:rPr>
          <w:rFonts w:ascii="Traditional Arabic" w:hAnsi="Traditional Arabic" w:cs="Traditional Arabic"/>
          <w:b/>
          <w:bCs/>
          <w:noProof/>
          <w:sz w:val="28"/>
          <w:szCs w:val="28"/>
          <w:lang w:bidi="ar-DZ"/>
        </w:rPr>
        <w:t xml:space="preserve"> </w:t>
      </w:r>
      <w:r w:rsidRPr="00DB4AC0">
        <w:rPr>
          <w:rFonts w:ascii="Traditional Arabic" w:hAnsi="Traditional Arabic" w:cs="Traditional Arabic"/>
          <w:noProof/>
          <w:sz w:val="28"/>
          <w:szCs w:val="28"/>
          <w:lang w:bidi="ar-DZ"/>
        </w:rPr>
        <w:t>(</w:t>
      </w:r>
      <w:r w:rsidRPr="00DB4AC0">
        <w:rPr>
          <w:rFonts w:ascii="Times New Roman" w:hAnsi="Times New Roman" w:cs="Times New Roman"/>
          <w:noProof/>
          <w:sz w:val="24"/>
          <w:szCs w:val="24"/>
          <w:lang w:bidi="ar-DZ"/>
        </w:rPr>
        <w:t>Laguia, Jaén, &amp; Moriano, 2019</w:t>
      </w:r>
      <w:r w:rsidRPr="00DB4AC0">
        <w:rPr>
          <w:rFonts w:ascii="Traditional Arabic" w:hAnsi="Traditional Arabic" w:cs="Traditional Arabic"/>
          <w:b/>
          <w:bCs/>
          <w:sz w:val="28"/>
          <w:szCs w:val="28"/>
          <w:rtl/>
          <w:lang w:bidi="ar-DZ"/>
        </w:rPr>
        <w:t xml:space="preserve">،  </w:t>
      </w:r>
      <w:r w:rsidRPr="00DB4AC0">
        <w:rPr>
          <w:rFonts w:ascii="Traditional Arabic" w:hAnsi="Traditional Arabic" w:cs="Traditional Arabic"/>
          <w:sz w:val="28"/>
          <w:szCs w:val="28"/>
          <w:rtl/>
          <w:lang w:bidi="ar-DZ"/>
        </w:rPr>
        <w:t>حيث  أشارت</w:t>
      </w:r>
      <w:r w:rsidRPr="00DB4AC0">
        <w:rPr>
          <w:rFonts w:ascii="Traditional Arabic" w:hAnsi="Traditional Arabic" w:cs="Traditional Arabic"/>
          <w:b/>
          <w:bCs/>
          <w:sz w:val="28"/>
          <w:szCs w:val="28"/>
          <w:rtl/>
          <w:lang w:bidi="ar-DZ"/>
        </w:rPr>
        <w:t xml:space="preserve"> </w:t>
      </w:r>
      <w:r w:rsidRPr="00DB4AC0">
        <w:rPr>
          <w:rFonts w:ascii="Traditional Arabic" w:hAnsi="Traditional Arabic" w:cs="Traditional Arabic"/>
          <w:sz w:val="28"/>
          <w:szCs w:val="28"/>
          <w:rtl/>
          <w:lang w:bidi="ar-DZ"/>
        </w:rPr>
        <w:t xml:space="preserve"> نظرية السلوك المخطط لـ </w:t>
      </w:r>
      <w:r w:rsidRPr="00DB4AC0">
        <w:rPr>
          <w:rFonts w:ascii="Traditional Arabic" w:hAnsi="Traditional Arabic" w:cs="Traditional Arabic"/>
          <w:sz w:val="28"/>
          <w:szCs w:val="28"/>
          <w:lang w:val="en-US" w:bidi="ar-DZ"/>
        </w:rPr>
        <w:t>Ajzen</w:t>
      </w:r>
      <w:r w:rsidRPr="00DB4AC0">
        <w:rPr>
          <w:rFonts w:ascii="Traditional Arabic" w:hAnsi="Traditional Arabic" w:cs="Traditional Arabic"/>
          <w:sz w:val="28"/>
          <w:szCs w:val="28"/>
          <w:rtl/>
          <w:lang w:bidi="ar-DZ"/>
        </w:rPr>
        <w:t xml:space="preserve">  إلى  وجود ارتباط تأثير الذاتية  على نية الفرد للقيام بسلوك ، حيث يتعرّض الفرد لضغوط  من عائلته وأصدقائه وزملائه فيما يتعلّق بفكرة المشروع </w:t>
      </w:r>
      <w:r w:rsidRPr="00DB4AC0">
        <w:rPr>
          <w:rFonts w:ascii="Traditional Arabic" w:hAnsi="Traditional Arabic" w:cs="Traditional Arabic"/>
          <w:noProof/>
          <w:sz w:val="28"/>
          <w:szCs w:val="28"/>
          <w:rtl/>
          <w:lang w:bidi="ar-DZ"/>
        </w:rPr>
        <w:t>(صوالح و بن عيشة ، 2018)</w:t>
      </w:r>
      <w:r w:rsidRPr="00DB4AC0">
        <w:rPr>
          <w:rFonts w:ascii="Traditional Arabic" w:hAnsi="Traditional Arabic" w:cs="Traditional Arabic"/>
          <w:sz w:val="28"/>
          <w:szCs w:val="28"/>
          <w:rtl/>
          <w:lang w:bidi="ar-DZ"/>
        </w:rPr>
        <w:t xml:space="preserve">،  ويعتبر زملاء الدراسة أكثر الأشخاص تأثيرا على تفكير الطالب والمحفّز الأساسي </w:t>
      </w:r>
      <w:r w:rsidRPr="00DB4AC0">
        <w:rPr>
          <w:rFonts w:ascii="Traditional Arabic" w:hAnsi="Traditional Arabic" w:cs="Traditional Arabic" w:hint="cs"/>
          <w:sz w:val="28"/>
          <w:szCs w:val="28"/>
          <w:rtl/>
          <w:lang w:bidi="ar-DZ"/>
        </w:rPr>
        <w:t xml:space="preserve">لنيته </w:t>
      </w:r>
      <w:r w:rsidRPr="00DB4AC0">
        <w:rPr>
          <w:rFonts w:ascii="Traditional Arabic" w:hAnsi="Traditional Arabic" w:cs="Traditional Arabic"/>
          <w:sz w:val="28"/>
          <w:szCs w:val="28"/>
          <w:rtl/>
          <w:lang w:bidi="ar-DZ"/>
        </w:rPr>
        <w:t xml:space="preserve"> </w:t>
      </w:r>
      <w:proofErr w:type="spellStart"/>
      <w:r w:rsidRPr="00DB4AC0">
        <w:rPr>
          <w:rFonts w:ascii="Traditional Arabic" w:hAnsi="Traditional Arabic" w:cs="Traditional Arabic"/>
          <w:sz w:val="28"/>
          <w:szCs w:val="28"/>
          <w:rtl/>
          <w:lang w:bidi="ar-DZ"/>
        </w:rPr>
        <w:t>المقاولاتية</w:t>
      </w:r>
      <w:proofErr w:type="spellEnd"/>
      <w:r w:rsidRPr="00DB4AC0">
        <w:rPr>
          <w:rFonts w:ascii="Traditional Arabic" w:hAnsi="Traditional Arabic" w:cs="Traditional Arabic"/>
          <w:sz w:val="28"/>
          <w:szCs w:val="28"/>
          <w:rtl/>
          <w:lang w:bidi="ar-DZ"/>
        </w:rPr>
        <w:t xml:space="preserve"> و</w:t>
      </w:r>
      <w:r w:rsidRPr="00DB4AC0">
        <w:rPr>
          <w:rFonts w:ascii="Traditional Arabic" w:hAnsi="Traditional Arabic" w:cs="Traditional Arabic" w:hint="cs"/>
          <w:sz w:val="28"/>
          <w:szCs w:val="28"/>
          <w:rtl/>
          <w:lang w:bidi="ar-DZ"/>
        </w:rPr>
        <w:t xml:space="preserve"> هذا ما أكدته </w:t>
      </w:r>
      <w:r w:rsidRPr="00DB4AC0">
        <w:rPr>
          <w:rFonts w:ascii="Traditional Arabic" w:hAnsi="Traditional Arabic" w:cs="Traditional Arabic"/>
          <w:sz w:val="28"/>
          <w:szCs w:val="28"/>
          <w:rtl/>
          <w:lang w:bidi="ar-DZ"/>
        </w:rPr>
        <w:t xml:space="preserve"> </w:t>
      </w:r>
      <w:r w:rsidRPr="00DB4AC0">
        <w:rPr>
          <w:rFonts w:ascii="Times New Roman" w:hAnsi="Times New Roman" w:cs="Times New Roman" w:hint="cs"/>
          <w:noProof/>
          <w:sz w:val="24"/>
          <w:szCs w:val="24"/>
          <w:rtl/>
          <w:lang w:bidi="ar-DZ"/>
        </w:rPr>
        <w:t xml:space="preserve">دراسة </w:t>
      </w:r>
      <w:r w:rsidRPr="00DB4AC0">
        <w:rPr>
          <w:rFonts w:ascii="Times New Roman" w:hAnsi="Times New Roman" w:cs="Times New Roman"/>
          <w:noProof/>
          <w:sz w:val="24"/>
          <w:szCs w:val="24"/>
          <w:lang w:bidi="ar-DZ"/>
        </w:rPr>
        <w:t xml:space="preserve">(Zhang, Duysters, &amp; Cloodt, </w:t>
      </w:r>
      <w:r w:rsidRPr="00DB4AC0">
        <w:rPr>
          <w:rFonts w:ascii="Times New Roman" w:hAnsi="Times New Roman" w:cs="Times New Roman" w:hint="cs"/>
          <w:noProof/>
          <w:sz w:val="24"/>
          <w:szCs w:val="24"/>
          <w:rtl/>
          <w:lang w:bidi="ar-DZ"/>
        </w:rPr>
        <w:t xml:space="preserve"> </w:t>
      </w:r>
      <w:r w:rsidRPr="00DB4AC0">
        <w:rPr>
          <w:rFonts w:ascii="Times New Roman" w:hAnsi="Times New Roman" w:cs="Times New Roman"/>
          <w:noProof/>
          <w:sz w:val="24"/>
          <w:szCs w:val="24"/>
          <w:lang w:bidi="ar-DZ"/>
        </w:rPr>
        <w:t>2014</w:t>
      </w:r>
      <w:r w:rsidRPr="00DB4AC0">
        <w:rPr>
          <w:rFonts w:ascii="Times New Roman" w:hAnsi="Times New Roman" w:cs="Times New Roman" w:hint="cs"/>
          <w:noProof/>
          <w:sz w:val="24"/>
          <w:szCs w:val="24"/>
          <w:rtl/>
          <w:lang w:bidi="ar-DZ"/>
        </w:rPr>
        <w:t>)</w:t>
      </w:r>
      <w:r w:rsidRPr="00DB4AC0">
        <w:rPr>
          <w:rFonts w:ascii="Traditional Arabic" w:eastAsia="Calibri" w:hAnsi="Traditional Arabic" w:cs="Traditional Arabic" w:hint="cs"/>
          <w:noProof/>
          <w:sz w:val="28"/>
          <w:szCs w:val="28"/>
          <w:rtl/>
          <w:lang w:eastAsia="en-US" w:bidi="ar-DZ"/>
        </w:rPr>
        <w:t xml:space="preserve"> </w:t>
      </w:r>
      <w:r w:rsidRPr="00DB4AC0">
        <w:rPr>
          <w:rFonts w:ascii="Traditional Arabic" w:eastAsia="Calibri" w:hAnsi="Traditional Arabic" w:cs="Traditional Arabic"/>
          <w:noProof/>
          <w:sz w:val="28"/>
          <w:szCs w:val="28"/>
          <w:lang w:eastAsia="en-US" w:bidi="ar-DZ"/>
        </w:rPr>
        <w:t xml:space="preserve"> </w:t>
      </w:r>
      <w:r w:rsidRPr="00DB4AC0">
        <w:rPr>
          <w:rFonts w:ascii="Times New Roman" w:eastAsia="Calibri" w:hAnsi="Times New Roman" w:cs="Times New Roman"/>
          <w:noProof/>
          <w:sz w:val="24"/>
          <w:szCs w:val="24"/>
          <w:lang w:eastAsia="en-US" w:bidi="ar-DZ"/>
        </w:rPr>
        <w:t>(Laguia, Jaén, &amp; Moriano, 2019</w:t>
      </w:r>
      <w:r w:rsidRPr="00DB4AC0">
        <w:rPr>
          <w:rFonts w:ascii="Traditional Arabic" w:eastAsia="Calibri" w:hAnsi="Traditional Arabic" w:cs="Traditional Arabic"/>
          <w:noProof/>
          <w:sz w:val="28"/>
          <w:szCs w:val="28"/>
          <w:lang w:eastAsia="en-US" w:bidi="ar-DZ"/>
        </w:rPr>
        <w:t>);</w:t>
      </w:r>
      <w:r w:rsidRPr="00DB4AC0">
        <w:rPr>
          <w:rFonts w:ascii="Times New Roman" w:eastAsia="Calibri" w:hAnsi="Times New Roman" w:cs="Times New Roman"/>
          <w:noProof/>
          <w:sz w:val="24"/>
          <w:szCs w:val="24"/>
          <w:rtl/>
          <w:lang w:eastAsia="en-US" w:bidi="ar-DZ"/>
        </w:rPr>
        <w:t xml:space="preserve"> </w:t>
      </w:r>
      <w:r w:rsidRPr="00DB4AC0">
        <w:rPr>
          <w:rFonts w:ascii="Traditional Arabic" w:hAnsi="Traditional Arabic" w:cs="Traditional Arabic" w:hint="cs"/>
          <w:sz w:val="28"/>
          <w:szCs w:val="28"/>
          <w:rtl/>
          <w:lang w:bidi="ar-DZ"/>
        </w:rPr>
        <w:t>أ</w:t>
      </w:r>
      <w:r w:rsidRPr="00DB4AC0">
        <w:rPr>
          <w:rFonts w:ascii="Traditional Arabic" w:hAnsi="Traditional Arabic" w:cs="Traditional Arabic"/>
          <w:sz w:val="28"/>
          <w:szCs w:val="28"/>
          <w:rtl/>
          <w:lang w:bidi="ar-DZ"/>
        </w:rPr>
        <w:t>نّ تأثير الزملاء يعتبر من المؤثرات الخارجية</w:t>
      </w:r>
      <w:r w:rsidRPr="00DB4AC0">
        <w:rPr>
          <w:rFonts w:ascii="Traditional Arabic" w:hAnsi="Traditional Arabic" w:cs="Traditional Arabic" w:hint="cs"/>
          <w:sz w:val="28"/>
          <w:szCs w:val="28"/>
          <w:rtl/>
          <w:lang w:bidi="ar-DZ"/>
        </w:rPr>
        <w:t xml:space="preserve"> الغير مباشرة </w:t>
      </w:r>
      <w:r w:rsidRPr="00DB4AC0">
        <w:rPr>
          <w:rFonts w:ascii="Traditional Arabic" w:hAnsi="Traditional Arabic" w:cs="Traditional Arabic"/>
          <w:sz w:val="28"/>
          <w:szCs w:val="28"/>
          <w:rtl/>
          <w:lang w:bidi="ar-DZ"/>
        </w:rPr>
        <w:t xml:space="preserve">على النية </w:t>
      </w:r>
      <w:proofErr w:type="spellStart"/>
      <w:r w:rsidRPr="00DB4AC0">
        <w:rPr>
          <w:rFonts w:ascii="Traditional Arabic" w:hAnsi="Traditional Arabic" w:cs="Traditional Arabic"/>
          <w:sz w:val="28"/>
          <w:szCs w:val="28"/>
          <w:rtl/>
          <w:lang w:bidi="ar-DZ"/>
        </w:rPr>
        <w:t>المقاولاتية</w:t>
      </w:r>
      <w:proofErr w:type="spellEnd"/>
    </w:p>
    <w:sectPr w:rsidR="00DC0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08D0"/>
    <w:multiLevelType w:val="hybridMultilevel"/>
    <w:tmpl w:val="C642654C"/>
    <w:lvl w:ilvl="0" w:tplc="718454C0">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4F21D0"/>
    <w:multiLevelType w:val="hybridMultilevel"/>
    <w:tmpl w:val="8DD48434"/>
    <w:lvl w:ilvl="0" w:tplc="A7529AE4">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0A49DA"/>
    <w:multiLevelType w:val="hybridMultilevel"/>
    <w:tmpl w:val="503C8244"/>
    <w:lvl w:ilvl="0" w:tplc="F5D6B2C2">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61"/>
    <w:rsid w:val="000A64B9"/>
    <w:rsid w:val="00743461"/>
    <w:rsid w:val="00937103"/>
    <w:rsid w:val="00D700B7"/>
    <w:rsid w:val="00DC0196"/>
    <w:rsid w:val="00E66B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8293"/>
  <w15:chartTrackingRefBased/>
  <w15:docId w15:val="{1DA773C1-BC26-4C27-AA8C-220ED2AA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61"/>
    <w:pPr>
      <w:spacing w:after="200" w:line="276" w:lineRule="auto"/>
    </w:pPr>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811</Words>
  <Characters>4462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 Info</dc:creator>
  <cp:keywords/>
  <dc:description/>
  <cp:lastModifiedBy>Zeid Info</cp:lastModifiedBy>
  <cp:revision>2</cp:revision>
  <dcterms:created xsi:type="dcterms:W3CDTF">2025-03-06T04:50:00Z</dcterms:created>
  <dcterms:modified xsi:type="dcterms:W3CDTF">2025-03-12T21:39:00Z</dcterms:modified>
</cp:coreProperties>
</file>