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8D" w:rsidRPr="0066478D" w:rsidRDefault="0066478D" w:rsidP="0066478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proofErr w:type="spellStart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Outright</w:t>
      </w:r>
      <w:proofErr w:type="spellEnd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Futures Trading </w:t>
      </w:r>
      <w:proofErr w:type="spellStart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Strategies</w:t>
      </w:r>
      <w:proofErr w:type="spellEnd"/>
    </w:p>
    <w:p w:rsidR="0066478D" w:rsidRPr="0066478D" w:rsidRDefault="0066478D" w:rsidP="0066478D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Investors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speculate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on the direction of a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by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going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long (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buy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to open) or short (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sell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to open) a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Moreover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investors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noticing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convergences or divergences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between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different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of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same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future, or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between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two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separate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speculate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by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establishing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outright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calendar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spread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trade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or pairs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trade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respectively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Futures are not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subject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to Pattern Day Trading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rules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unlike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trading stocks or options.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Investors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seeking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to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speculate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by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day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trading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actively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are not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limited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by how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many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day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trades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they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perform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within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 trading session.</w:t>
      </w:r>
    </w:p>
    <w:p w:rsidR="0066478D" w:rsidRPr="0066478D" w:rsidRDefault="0066478D" w:rsidP="0066478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proofErr w:type="spellStart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Buying</w:t>
      </w:r>
      <w:proofErr w:type="spellEnd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/Long </w:t>
      </w:r>
      <w:proofErr w:type="spellStart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Individual</w:t>
      </w:r>
      <w:proofErr w:type="spellEnd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Outright</w:t>
      </w:r>
      <w:proofErr w:type="spellEnd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Futures</w:t>
      </w:r>
    </w:p>
    <w:p w:rsidR="0066478D" w:rsidRPr="0066478D" w:rsidRDefault="0066478D" w:rsidP="0066478D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Investors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speculating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that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of a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will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go up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establish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 long position by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buying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to open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An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investor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profit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from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 long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as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rises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Losses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occur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when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falls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below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contract's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purchase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or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cost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basis.</w:t>
      </w:r>
    </w:p>
    <w:p w:rsidR="0066478D" w:rsidRPr="0066478D" w:rsidRDefault="0066478D" w:rsidP="0066478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proofErr w:type="spellStart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Selling</w:t>
      </w:r>
      <w:proofErr w:type="spellEnd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/Short </w:t>
      </w:r>
      <w:proofErr w:type="spellStart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Outright</w:t>
      </w:r>
      <w:proofErr w:type="spellEnd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Futures</w:t>
      </w:r>
    </w:p>
    <w:p w:rsidR="0066478D" w:rsidRPr="0066478D" w:rsidRDefault="0066478D" w:rsidP="00664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Investors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speculating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that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of a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will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go down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establish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 short position by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selling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to open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An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investor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profit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from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 short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as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falls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Unlike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long positions,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losses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occur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from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 short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position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when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rises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above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sale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.</w:t>
      </w:r>
    </w:p>
    <w:p w:rsidR="0066478D" w:rsidRPr="0066478D" w:rsidRDefault="0066478D" w:rsidP="0066478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fr-FR"/>
        </w:rPr>
      </w:pPr>
      <w:r w:rsidRPr="0066478D">
        <w:rPr>
          <w:rFonts w:ascii="Arial" w:eastAsia="Times New Roman" w:hAnsi="Arial" w:cs="Arial"/>
          <w:color w:val="000000"/>
          <w:sz w:val="36"/>
          <w:szCs w:val="36"/>
          <w:lang w:eastAsia="fr-FR"/>
        </w:rPr>
        <w:t xml:space="preserve">Futures Trading </w:t>
      </w:r>
      <w:proofErr w:type="spellStart"/>
      <w:r w:rsidRPr="0066478D">
        <w:rPr>
          <w:rFonts w:ascii="Arial" w:eastAsia="Times New Roman" w:hAnsi="Arial" w:cs="Arial"/>
          <w:color w:val="000000"/>
          <w:sz w:val="36"/>
          <w:szCs w:val="36"/>
          <w:lang w:eastAsia="fr-FR"/>
        </w:rPr>
        <w:t>Examples</w:t>
      </w:r>
      <w:proofErr w:type="spellEnd"/>
    </w:p>
    <w:p w:rsidR="0066478D" w:rsidRPr="0066478D" w:rsidRDefault="0066478D" w:rsidP="0066478D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Suppose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you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are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bullish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on gold. You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take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 long position on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precious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metal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at $1,700 and one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(100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troy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ounces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). You close the position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before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expires, at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which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point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of gold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at $1,750. You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would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pay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$1,700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instead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of $1,750, $50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less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than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new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market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You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would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benefit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and the seller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would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lose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out. But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there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more to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calculating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profit or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loss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(P/L). First,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you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would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divide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profit per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(or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difference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between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and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at expiration/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execution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of </w:t>
      </w:r>
      <w:proofErr w:type="spellStart"/>
      <w:proofErr w:type="gram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trade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)—</w:t>
      </w:r>
      <w:proofErr w:type="gram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$50 in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this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case, by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tick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size (0.10 for gold futures). That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gives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you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total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tick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movement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(500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ticks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).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Then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you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would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multiply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this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with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tick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value ($10 for gold futures),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which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gives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you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your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total P/L. In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this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case,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your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profit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$5,000.</w:t>
      </w:r>
    </w:p>
    <w:p w:rsidR="0066478D" w:rsidRPr="0066478D" w:rsidRDefault="0066478D" w:rsidP="0066478D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For a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size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bigger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than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1,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you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would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multiply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this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figure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with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number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of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to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determine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your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P/L.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Now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imagine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that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you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let the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expire, at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which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point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of gold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at $1,600. You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would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pay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$1,700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instead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of $1,600. That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means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you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would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have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missed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opportunity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to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pay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$100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less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than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new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market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You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would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calculate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P/L as per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previous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example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In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this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case,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would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$10,000. As per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this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example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you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would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lose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out and the seller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would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benefit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.</w:t>
      </w:r>
    </w:p>
    <w:p w:rsidR="0066478D" w:rsidRPr="0066478D" w:rsidRDefault="0066478D" w:rsidP="006647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r w:rsidRPr="0066478D">
        <w:rPr>
          <w:rFonts w:ascii="Arial" w:eastAsia="Times New Roman" w:hAnsi="Arial" w:cs="Arial"/>
          <w:noProof/>
          <w:color w:val="1D191B"/>
          <w:sz w:val="24"/>
          <w:szCs w:val="24"/>
          <w:lang w:eastAsia="fr-FR"/>
        </w:rPr>
        <w:lastRenderedPageBreak/>
        <w:drawing>
          <wp:inline distT="0" distB="0" distL="0" distR="0" wp14:anchorId="34381D24" wp14:editId="28E540C5">
            <wp:extent cx="7620000" cy="5715000"/>
            <wp:effectExtent l="0" t="0" r="0" b="0"/>
            <wp:docPr id="1" name="Image 1" descr="figure-trade-execution-g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-trade-execution-gol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78D" w:rsidRPr="0066478D" w:rsidRDefault="0066478D" w:rsidP="00664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br/>
      </w:r>
    </w:p>
    <w:p w:rsidR="0066478D" w:rsidRPr="0066478D" w:rsidRDefault="0066478D" w:rsidP="0066478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proofErr w:type="spellStart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Outright</w:t>
      </w:r>
      <w:proofErr w:type="spellEnd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Futures </w:t>
      </w:r>
      <w:proofErr w:type="spellStart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Calendar</w:t>
      </w:r>
      <w:proofErr w:type="spellEnd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Spreads and Pairs </w:t>
      </w:r>
      <w:proofErr w:type="spellStart"/>
      <w:r w:rsidRPr="0066478D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Trades</w:t>
      </w:r>
      <w:proofErr w:type="spellEnd"/>
    </w:p>
    <w:p w:rsidR="0066478D" w:rsidRPr="0066478D" w:rsidRDefault="0066478D" w:rsidP="0066478D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Investors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who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notice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deviations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between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different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of a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specific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or notice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that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between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two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separate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are inverse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speculate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by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placing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outright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calendar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spread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trade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or pairs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trade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.</w:t>
      </w:r>
    </w:p>
    <w:p w:rsidR="0066478D" w:rsidRPr="0066478D" w:rsidRDefault="0066478D" w:rsidP="0066478D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An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outright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calendar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spread, or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intramarket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spread,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describes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strategy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where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investor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buys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or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sells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active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and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performs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opposite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order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action on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same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future in </w:t>
      </w:r>
      <w:proofErr w:type="gram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a</w:t>
      </w:r>
      <w:proofErr w:type="gram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back-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It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important to note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that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investors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speculate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between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any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two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of a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specific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It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worth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noting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that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available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vary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for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each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outright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.</w:t>
      </w:r>
    </w:p>
    <w:p w:rsidR="0066478D" w:rsidRPr="0066478D" w:rsidRDefault="0066478D" w:rsidP="0066478D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lastRenderedPageBreak/>
        <w:t>Similar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to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intramarket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futures spreads, a futures pairs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trade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describes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strategy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where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investor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buys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or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sells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and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performs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opposite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order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action to a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different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Investors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speculate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between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inverse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action of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two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by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placing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 pairs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trade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Whether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investor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speculates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by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establishing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outright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futures spread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trade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or a pairs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trade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both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have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same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goal of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convergence or divergence.</w:t>
      </w:r>
    </w:p>
    <w:p w:rsidR="0066478D" w:rsidRPr="0066478D" w:rsidRDefault="0066478D" w:rsidP="0066478D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Before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discuss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example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essential to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understand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what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convergence and divergence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mean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in a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calendar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spread or pairs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trade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Convergence assumes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two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products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or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are at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extremes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far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away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from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each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other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A convergence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would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profit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when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of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two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products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moved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towards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each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other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over time.</w:t>
      </w:r>
    </w:p>
    <w:p w:rsidR="0066478D" w:rsidRPr="0066478D" w:rsidRDefault="0066478D" w:rsidP="006647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r w:rsidRPr="0066478D">
        <w:rPr>
          <w:rFonts w:ascii="Arial" w:eastAsia="Times New Roman" w:hAnsi="Arial" w:cs="Arial"/>
          <w:noProof/>
          <w:color w:val="1D191B"/>
          <w:sz w:val="24"/>
          <w:szCs w:val="24"/>
          <w:lang w:eastAsia="fr-FR"/>
        </w:rPr>
        <w:drawing>
          <wp:inline distT="0" distB="0" distL="0" distR="0" wp14:anchorId="67C2AAFE" wp14:editId="22794651">
            <wp:extent cx="9525000" cy="2505075"/>
            <wp:effectExtent l="0" t="0" r="0" b="9525"/>
            <wp:docPr id="2" name="Image 2" descr="TT1653_Futures-Calendar-Spread-Convergence0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1653_Futures-Calendar-Spread-Convergence01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78D" w:rsidRPr="0066478D" w:rsidRDefault="0066478D" w:rsidP="0066478D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For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example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, if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are long the front-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/MESH4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at 4,000 and short the back-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/MESM4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at 4,050,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would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see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profitability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if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of the front-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rose, and the back-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fell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Of course,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when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inverse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occurs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in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example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above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would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see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losses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both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.</w:t>
      </w:r>
    </w:p>
    <w:p w:rsidR="0066478D" w:rsidRPr="0066478D" w:rsidRDefault="0066478D" w:rsidP="006647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r w:rsidRPr="0066478D">
        <w:rPr>
          <w:rFonts w:ascii="Arial" w:eastAsia="Times New Roman" w:hAnsi="Arial" w:cs="Arial"/>
          <w:noProof/>
          <w:color w:val="1D191B"/>
          <w:sz w:val="24"/>
          <w:szCs w:val="24"/>
          <w:lang w:eastAsia="fr-FR"/>
        </w:rPr>
        <w:drawing>
          <wp:inline distT="0" distB="0" distL="0" distR="0" wp14:anchorId="3226D177" wp14:editId="19BA8156">
            <wp:extent cx="9525000" cy="2505075"/>
            <wp:effectExtent l="0" t="0" r="0" b="9525"/>
            <wp:docPr id="3" name="Image 3" descr="TT1653_Futures-Calendar-Spread-Convergence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T1653_Futures-Calendar-Spread-Convergence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78D" w:rsidRPr="0066478D" w:rsidRDefault="0066478D" w:rsidP="0066478D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lastRenderedPageBreak/>
        <w:t xml:space="preserve">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example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above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shows the spread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narrowing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from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-50 points to -15 points due to the long front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/MES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increasing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20 points for a $100 gain (20 pts x $5) and the short back-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/MES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dropping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by 15 points for a $75 gain (15 pts x $5). This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equates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to a $175 total profit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between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two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($100 + $75).</w:t>
      </w:r>
    </w:p>
    <w:p w:rsidR="0066478D" w:rsidRPr="0066478D" w:rsidRDefault="0066478D" w:rsidP="0066478D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Conversely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, traders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speculate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on a divergence. Traders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speculating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on a divergence assume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of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each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in an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outright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calendar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spread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will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move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away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from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each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other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over time.</w:t>
      </w:r>
    </w:p>
    <w:p w:rsidR="0066478D" w:rsidRPr="0066478D" w:rsidRDefault="0066478D" w:rsidP="006647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r w:rsidRPr="0066478D">
        <w:rPr>
          <w:rFonts w:ascii="Arial" w:eastAsia="Times New Roman" w:hAnsi="Arial" w:cs="Arial"/>
          <w:noProof/>
          <w:color w:val="1D191B"/>
          <w:sz w:val="24"/>
          <w:szCs w:val="24"/>
          <w:lang w:eastAsia="fr-FR"/>
        </w:rPr>
        <w:drawing>
          <wp:inline distT="0" distB="0" distL="0" distR="0" wp14:anchorId="163E95B4" wp14:editId="425F7F39">
            <wp:extent cx="9525000" cy="2505075"/>
            <wp:effectExtent l="0" t="0" r="0" b="9525"/>
            <wp:docPr id="4" name="Image 4" descr="TT1653_Futures-Calendar-Spread-Divergence0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T1653_Futures-Calendar-Spread-Divergence01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78D" w:rsidRPr="0066478D" w:rsidRDefault="0066478D" w:rsidP="0066478D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For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example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let’s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say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are short the front-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/MESH4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at 4,000 and long the back-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/MESM4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at 4,050.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would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see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profitability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if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of the front-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fell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, and the back-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rose.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Both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are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moving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away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from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each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other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or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diverging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If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price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of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both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started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moving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toward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each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other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, in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this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example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, a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loss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would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incurred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.</w:t>
      </w:r>
    </w:p>
    <w:p w:rsidR="0066478D" w:rsidRPr="0066478D" w:rsidRDefault="0066478D" w:rsidP="006647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r w:rsidRPr="0066478D">
        <w:rPr>
          <w:rFonts w:ascii="Arial" w:eastAsia="Times New Roman" w:hAnsi="Arial" w:cs="Arial"/>
          <w:noProof/>
          <w:color w:val="1D191B"/>
          <w:sz w:val="24"/>
          <w:szCs w:val="24"/>
          <w:lang w:eastAsia="fr-FR"/>
        </w:rPr>
        <w:drawing>
          <wp:inline distT="0" distB="0" distL="0" distR="0" wp14:anchorId="7A01DB33" wp14:editId="2CBAC8A9">
            <wp:extent cx="9525000" cy="2505075"/>
            <wp:effectExtent l="0" t="0" r="0" b="9525"/>
            <wp:docPr id="5" name="Image 5" descr="TT1653_Futures-Calendar-Spread-Divergence0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T1653_Futures-Calendar-Spread-Divergence02-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78D" w:rsidRPr="0066478D" w:rsidRDefault="0066478D" w:rsidP="0066478D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example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above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shows the spread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widening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by 10 points due to the short front-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/MESH4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dropping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by 10 points (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from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4,000 to 3,990) for a $50 gain </w:t>
      </w:r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lastRenderedPageBreak/>
        <w:t>(10 pts x $5) and the long back-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month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/MESM4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rising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by 10 points. This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equates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to a $100 profit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between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two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contracts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.</w:t>
      </w:r>
    </w:p>
    <w:p w:rsidR="0066478D" w:rsidRPr="0066478D" w:rsidRDefault="0066478D" w:rsidP="006647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91B"/>
          <w:sz w:val="24"/>
          <w:szCs w:val="24"/>
          <w:lang w:eastAsia="fr-FR"/>
        </w:rPr>
      </w:pP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Before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establishing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,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essential to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fully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understand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risks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of futures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calendar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spreads and pairs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trades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tastytrade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desktop trading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platform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has the Pairs Trading mode for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investors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seeking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to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establish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futures spread or futures pairs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trade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.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Please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visit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the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tastytrade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Help Center to </w:t>
      </w:r>
      <w:proofErr w:type="spellStart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learn</w:t>
      </w:r>
      <w:proofErr w:type="spellEnd"/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 xml:space="preserve"> more about the </w:t>
      </w:r>
      <w:hyperlink r:id="rId9" w:tgtFrame="_blank" w:history="1">
        <w:r w:rsidRPr="0066478D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fr-FR"/>
          </w:rPr>
          <w:t>Pairs Trading mode</w:t>
        </w:r>
      </w:hyperlink>
      <w:r w:rsidRPr="0066478D">
        <w:rPr>
          <w:rFonts w:ascii="Arial" w:eastAsia="Times New Roman" w:hAnsi="Arial" w:cs="Arial"/>
          <w:color w:val="1D191B"/>
          <w:sz w:val="24"/>
          <w:szCs w:val="24"/>
          <w:lang w:eastAsia="fr-FR"/>
        </w:rPr>
        <w:t>.</w:t>
      </w:r>
    </w:p>
    <w:p w:rsidR="00860223" w:rsidRDefault="007541A4" w:rsidP="0066478D">
      <w:pPr>
        <w:rPr>
          <w:lang w:bidi="ar-DZ"/>
        </w:rPr>
      </w:pPr>
      <w:bookmarkStart w:id="0" w:name="_GoBack"/>
      <w:bookmarkEnd w:id="0"/>
    </w:p>
    <w:sectPr w:rsidR="00860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8D"/>
    <w:rsid w:val="00333A88"/>
    <w:rsid w:val="00557EF3"/>
    <w:rsid w:val="0066478D"/>
    <w:rsid w:val="007541A4"/>
    <w:rsid w:val="00E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12896-48AF-4903-922F-6F28BFC9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1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support.tastytrade.com/support/s/solutions/articles/4300057151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pc</dc:creator>
  <cp:keywords/>
  <dc:description/>
  <cp:lastModifiedBy>info pc</cp:lastModifiedBy>
  <cp:revision>2</cp:revision>
  <dcterms:created xsi:type="dcterms:W3CDTF">2025-04-27T23:02:00Z</dcterms:created>
  <dcterms:modified xsi:type="dcterms:W3CDTF">2025-04-27T23:02:00Z</dcterms:modified>
</cp:coreProperties>
</file>