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B13B1C" w:rsidRPr="00111A99" w:rsidRDefault="00B13B1C" w:rsidP="0020043A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</w:t>
            </w:r>
            <w:proofErr w:type="gramStart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التعليمية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proofErr w:type="gramEnd"/>
            <w:r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اقتصاد كلي 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1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علوم التسيير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جذع مشترك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B13B1C" w:rsidRPr="00FF3D20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B13B1C" w:rsidRPr="00C34721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B13B1C" w:rsidRPr="00FF3D20" w:rsidRDefault="00B13B1C" w:rsidP="0020043A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B13B1C" w:rsidRPr="00FF3D20" w:rsidRDefault="00B13B1C" w:rsidP="003D2CB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20</w:t>
            </w:r>
            <w:r w:rsidR="003D2CB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25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/20</w:t>
            </w:r>
            <w:r w:rsidR="003D2CB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26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E82A76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اقتصاد كلي 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01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 30د</w:t>
            </w:r>
            <w:proofErr w:type="gramEnd"/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01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 30د</w:t>
            </w:r>
            <w:proofErr w:type="gramEnd"/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بن وارث حكيمة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ب-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لايوجد</w:t>
            </w:r>
            <w:proofErr w:type="spellEnd"/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25163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hakima.benouareth@univ-annaba.dz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B13B1C" w:rsidRPr="0050480E" w:rsidRDefault="00B25163" w:rsidP="003D2CB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الأربعاء </w:t>
            </w:r>
            <w:r w:rsidR="00B13B1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8 </w:t>
            </w:r>
            <w:proofErr w:type="spellStart"/>
            <w:r w:rsidR="00B13B1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proofErr w:type="spellEnd"/>
            <w:r w:rsidR="00B13B1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صباحا بالمدرج </w:t>
            </w:r>
            <w:r w:rsidR="003D2CB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FF3D20" w:rsidRDefault="00B13B1C" w:rsidP="0020043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B13B1C" w:rsidRPr="0050480E" w:rsidTr="0020043A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13B1C" w:rsidRPr="00A91ADB" w:rsidRDefault="00B13B1C" w:rsidP="002004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B13B1C" w:rsidRPr="00FF1847" w:rsidRDefault="00B13B1C" w:rsidP="0020043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مدخل للاقتصاد، اقتصاد جزئي، تاريخ الفكر الاقتصادي، رياضيات</w:t>
            </w:r>
          </w:p>
        </w:tc>
      </w:tr>
      <w:tr w:rsidR="00B13B1C" w:rsidRPr="0050480E" w:rsidTr="0020043A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13B1C" w:rsidRPr="0050480E" w:rsidRDefault="00B13B1C" w:rsidP="0020043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B13B1C" w:rsidRPr="00FF1847" w:rsidRDefault="00B13B1C" w:rsidP="0020043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يساعد المقياس الطلبة على فهم الجوانب النظرية للظواهر الاقتصادية الكلية، كما يُمكن من استيعاب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النمذجة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الاقتصادية لهذه الظواهر والسلوك الاقتصادي في بناء عددي رياضي؛ بالإضافة إلى الإلمام بحد مقبول من التحليل الاقتصادي للنماذج الرياضية التي تُجسّد الإطار النظري وتربطه بالواقع، في ظل أطروحات المدرسة الكلاسيكية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والكينزية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B13B1C" w:rsidRPr="00FF1847" w:rsidRDefault="00B13B1C" w:rsidP="0020043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بعد</w:t>
            </w: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دراسة محتوى المادة، سيكون الطالب قادراً على ما يلي</w:t>
            </w: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:</w:t>
            </w:r>
          </w:p>
          <w:p w:rsidR="00B13B1C" w:rsidRPr="00FF1847" w:rsidRDefault="00B13B1C" w:rsidP="0020043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-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أن يعرف حسابات المجاميع الاقتصادية الكلية ومؤشرات الاقتصاد الكلي وقياسها؛</w:t>
            </w:r>
          </w:p>
          <w:p w:rsidR="00B13B1C" w:rsidRPr="00FF1847" w:rsidRDefault="00B13B1C" w:rsidP="0020043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- </w:t>
            </w: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أن يميّز بين مختلف النشاطات الاقتصادية للأعوان الاقتصاديين على المستوى الكلي؛</w:t>
            </w:r>
          </w:p>
          <w:p w:rsidR="00B13B1C" w:rsidRPr="00C754E5" w:rsidRDefault="00B13B1C" w:rsidP="0020043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lastRenderedPageBreak/>
              <w:t>- أن يتحكّم في المفاهيم الأساسية للتحليل الاقتصادي الكلي من خلال دراسة نظرية الاقتصاد الكلي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(النظرية الكلاسيكية </w:t>
            </w:r>
            <w:proofErr w:type="spellStart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والكينزية</w:t>
            </w:r>
            <w:proofErr w:type="spellEnd"/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)</w:t>
            </w:r>
            <w:r w:rsidRPr="00FF1847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.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للنظرية الاقتصادية الكلية (مفاهيم ومصطلحات)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 مستوى النشاط الاقتصادي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بيانات ونماذج قياس مؤشرات الاقتصاد الكلي الوطني والعالمي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النموذج الكلاسيكي في التوازن الاقتصادي العام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النموذج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الكينزي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اقتصاد بسيط (قطاعين)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B13B1C" w:rsidRPr="0050480E" w:rsidRDefault="00B13B1C" w:rsidP="0020043A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فريق)   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الغياب )</w:t>
            </w:r>
            <w:proofErr w:type="gramEnd"/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المشاركة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B13B1C" w:rsidRPr="0050480E" w:rsidRDefault="00B13B1C" w:rsidP="0020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13B1C" w:rsidRPr="00AE6434" w:rsidRDefault="00B13B1C" w:rsidP="002004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B13B1C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محاضرات وأعمال موجهة/تطبيقية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 طبيعة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تقييمها امتحان و مراقبة مستمرة يقاس معدل المادة بالوزن الترجيحي للمحاضرة والأعمال الموجهة</w:t>
            </w:r>
            <w:r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B13B1C" w:rsidRPr="00A91ADB" w:rsidTr="0020043A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B13B1C" w:rsidRPr="00A91ADB" w:rsidRDefault="00B13B1C" w:rsidP="0020043A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B13B1C" w:rsidRPr="00A91ADB" w:rsidRDefault="00B13B1C" w:rsidP="0020043A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B13B1C" w:rsidRPr="00A91ADB" w:rsidTr="0020043A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B13B1C" w:rsidRPr="00A91ADB" w:rsidRDefault="00B13B1C" w:rsidP="0020043A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B13B1C" w:rsidRPr="00A91ADB" w:rsidRDefault="00B13B1C" w:rsidP="0020043A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B13B1C" w:rsidRPr="00FF3D20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</w:tcPr>
          <w:p w:rsidR="00B13B1C" w:rsidRPr="0050480E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13B1C" w:rsidRPr="0050480E" w:rsidTr="0020043A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دار النشر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السنة</w:t>
            </w:r>
            <w:proofErr w:type="gramEnd"/>
          </w:p>
        </w:tc>
      </w:tr>
      <w:tr w:rsidR="00B13B1C" w:rsidRPr="0050480E" w:rsidTr="0020043A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3B1C" w:rsidRPr="00F878F4" w:rsidRDefault="00B13B1C" w:rsidP="0020043A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F878F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Macroeconomics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8F4">
              <w:rPr>
                <w:rFonts w:asciiTheme="majorBidi" w:hAnsiTheme="majorBidi" w:cstheme="majorBidi"/>
                <w:sz w:val="24"/>
                <w:szCs w:val="24"/>
              </w:rPr>
              <w:t>Olivier Blanchard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13B1C" w:rsidRPr="00F878F4" w:rsidRDefault="00B13B1C" w:rsidP="0020043A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8F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Seventh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F878F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edition</w:t>
            </w:r>
            <w:r w:rsidRPr="00F878F4">
              <w:rPr>
                <w:rFonts w:asciiTheme="majorBidi" w:hAnsiTheme="majorBidi" w:cstheme="majorBidi"/>
                <w:sz w:val="24"/>
                <w:szCs w:val="24"/>
              </w:rPr>
              <w:t>.|Boston: Pearson, (2017)</w:t>
            </w:r>
          </w:p>
        </w:tc>
      </w:tr>
      <w:tr w:rsidR="00B13B1C" w:rsidRPr="0050480E" w:rsidTr="0020043A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مبادئ التحليل الاقتصادي الكلي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تومي صالح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دار أسامة للطباعة والنشر والتوزيع، </w:t>
            </w:r>
            <w:proofErr w:type="gramStart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الجزائر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ط </w:t>
            </w:r>
            <w:r w:rsidRPr="00F878F4">
              <w:rPr>
                <w:rFonts w:ascii="Sakkal Majalla" w:hAnsi="Sakkal Majalla" w:cs="Sakkal Majalla"/>
                <w:sz w:val="24"/>
                <w:szCs w:val="24"/>
              </w:rPr>
              <w:t>2021</w:t>
            </w: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13B1C" w:rsidRPr="0050480E" w:rsidTr="0020043A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الاقتصاد الكلي: نظريات، نماذج وتمارين محلولة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سعيد </w:t>
            </w:r>
            <w:proofErr w:type="spellStart"/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بريبش</w:t>
            </w:r>
            <w:proofErr w:type="spellEnd"/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B1C" w:rsidRPr="00F878F4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878F4"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العلوم للنشر والتوزيع، عنابة، الجزائر، 2007.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B13B1C" w:rsidRPr="0050480E" w:rsidTr="0020043A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N. Gregory </w:t>
            </w:r>
            <w:proofErr w:type="spellStart"/>
            <w:proofErr w:type="gramStart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mankiw</w:t>
            </w:r>
            <w:proofErr w:type="spellEnd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>2019), brief principles of macroeconomics, ninth edition, Harvard university</w:t>
            </w:r>
            <w:r w:rsidRPr="007B4CA9">
              <w:rPr>
                <w:rFonts w:ascii="NewCaledoniaLTStd-Bold" w:hAnsi="NewCaledoniaLTStd-Bold" w:cs="NewCaledoniaLTStd-Bold"/>
                <w:b/>
                <w:bCs/>
                <w:i/>
                <w:iCs/>
                <w:color w:val="CD4D00"/>
                <w:sz w:val="24"/>
                <w:szCs w:val="24"/>
                <w:lang w:val="en-US"/>
              </w:rPr>
              <w:t>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Romer</w:t>
            </w:r>
            <w:proofErr w:type="spellEnd"/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(2012), </w:t>
            </w:r>
            <w:r w:rsidR="008E2CD5"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advanced macroeconomics</w:t>
            </w:r>
            <w:r w:rsidRPr="007B4CA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fourth edition, University of California, Berkeley.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مايكل </w:t>
            </w:r>
            <w:proofErr w:type="spellStart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ابدجمان</w:t>
            </w:r>
            <w:proofErr w:type="spellEnd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، الاقتصاد الكلي النظرية والسياسة، ترجمة محمد إبراهيم منصور، دار المريخ، الرياض، 2012.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محمد </w:t>
            </w:r>
            <w:proofErr w:type="spellStart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زرقون</w:t>
            </w:r>
            <w:proofErr w:type="spellEnd"/>
            <w:r w:rsidRPr="007B4CA9">
              <w:rPr>
                <w:rFonts w:ascii="Sakkal Majalla" w:hAnsi="Sakkal Majalla" w:cs="Sakkal Majalla" w:hint="cs"/>
                <w:sz w:val="30"/>
                <w:szCs w:val="30"/>
                <w:rtl/>
              </w:rPr>
              <w:t>، أمال رحمان، النظرية الاقتصادية الكلية: محاضرات وتمارين، ديوان المطبوعات الجامعية، الجزائر، 2017.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سعيد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بريبش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الاقتصاد الكلي: بين النظرية والتطبيق، أعمال موجهة، دار العلوم للنشر والتوزيع، عنابة، الجزائر، 2007.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بشير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معطيب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الاقتصاد الكلي: دروس وتمارين، ط</w:t>
            </w:r>
            <w:proofErr w:type="gram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1،  كليك</w:t>
            </w:r>
            <w:proofErr w:type="gram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للنشر، الجزائر، 2008.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محمد الشريف </w:t>
            </w:r>
            <w:proofErr w:type="spellStart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إلمان</w:t>
            </w:r>
            <w:proofErr w:type="spellEnd"/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محاضرات في النظرية الاقتصادية الكلية: الدوال الاقتصادية الكلية الأساسية القطاع الحقيقي، ج</w:t>
            </w:r>
            <w:r w:rsidRPr="007B4CA9"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/>
              </w:rPr>
              <w:t>2</w:t>
            </w:r>
            <w:r w:rsidRPr="007B4CA9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، ديوان المطبوعات الجامعية،2003.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30"/>
                <w:szCs w:val="30"/>
              </w:rPr>
            </w:pPr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 بول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سامويلسون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، ويليام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نوردهاوس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، الاقتصاد، ترجمة هشام </w:t>
            </w:r>
            <w:proofErr w:type="gram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عبدالله</w:t>
            </w:r>
            <w:proofErr w:type="gram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، ط2، دار الأهلية للنشر والتوزيع، عمان، الأردن، 2006.</w:t>
            </w:r>
          </w:p>
          <w:p w:rsidR="00B13B1C" w:rsidRPr="007B4CA9" w:rsidRDefault="00B13B1C" w:rsidP="002004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 xml:space="preserve">بول </w:t>
            </w:r>
            <w:proofErr w:type="spellStart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كروجمان</w:t>
            </w:r>
            <w:proofErr w:type="spellEnd"/>
            <w:r w:rsidRPr="007B4CA9">
              <w:rPr>
                <w:rFonts w:ascii="Sakkal Majalla" w:eastAsiaTheme="minorHAnsi" w:hAnsi="Sakkal Majalla" w:cs="Sakkal Majalla" w:hint="cs"/>
                <w:sz w:val="30"/>
                <w:szCs w:val="30"/>
                <w:rtl/>
              </w:rPr>
              <w:t>، تحليل النظريات الاقتصادية، ط1، الدار الدولية للاستثمارات الثقافية، القاهرة، 2007.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</w:tcPr>
          <w:p w:rsidR="00B13B1C" w:rsidRPr="0050480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B13B1C" w:rsidRPr="0050480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50480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B13B1C" w:rsidRPr="0050480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مدخل للنظرية الاقتصادية الكلية (مفاهيم ومصطلحات)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 الاقتصاد الكلي، أنواع التحليل الاقتصا</w:t>
            </w:r>
            <w:r w:rsidR="003D2CB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دي، تعريف: النماذج، المتغيرات </w:t>
            </w:r>
            <w:proofErr w:type="spellStart"/>
            <w:r w:rsidR="003D2CB7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الأوسطة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المعادلات السلوكية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التعريفية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التوازنية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 مفهوم التوازن الكلي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أهداف السياسة الاقتصادية </w:t>
            </w:r>
            <w:bookmarkStart w:id="0" w:name="_GoBack"/>
            <w:bookmarkEnd w:id="0"/>
            <w:r w:rsidR="008E2C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الكلية</w:t>
            </w:r>
            <w:r w:rsidR="008E2CD5"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صعوبات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التحليل الاقتصادي الكلي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25163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01</w:t>
            </w:r>
            <w:r w:rsidR="00B13B1C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  <w:r w:rsidR="00B13B1C">
              <w:rPr>
                <w:rFonts w:ascii="Sakkal Majalla" w:hAnsi="Sakkal Majalla" w:cs="Sakkal Majalla" w:hint="cs"/>
                <w:sz w:val="32"/>
                <w:szCs w:val="32"/>
                <w:rtl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 النشاط الاقتصادي 1</w:t>
            </w:r>
          </w:p>
          <w:p w:rsidR="00B13B1C" w:rsidRPr="004513B5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(مدخل للنشاط الاقتصادي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عوان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قطاعات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 النشاط الاقتصادي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الأسواق التي يلتقي فيها الأعوان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دائرة التدفق النقدي ( قطاعين)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دائرة التدفق النقدي (3 قطاعات)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دائرة التدفق النقدي (4 قطاعات)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 النشاط الاقتصادي 2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(مفهوم الناتج الداخلي الخام، طرق حساب الناتج الداخلي الخام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الناتج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الداخلي الخام الاسمي والحقيقي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تعريف بعض أشكال الناتج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pacing w:val="-4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pacing w:val="-4"/>
                <w:sz w:val="28"/>
                <w:szCs w:val="28"/>
                <w:rtl/>
              </w:rPr>
              <w:t>قياس النشاط الاقتصادي 3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(مؤشر الأسعار واستعمالاته، حساب نسبة التضخم، حساب نسبة النمو، أهمية دراسة الناتج الوطني، صعوبات قياس الناتج الوطني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أمثلة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بيانات ونماذج قياس مؤشرات الاقتصاد الكلي الوطني والعالمي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>(عرض بيانات لمؤشرات الاقتصاد الكلي الوطني وبعض الدول كالولايات المتحدة الامريكية، الصين،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بعض الدول الاوروبية والعربية</w:t>
            </w: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....) المؤشرات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الناتج الوطني </w:t>
            </w:r>
            <w:r w:rsidRPr="00513A45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النمو </w:t>
            </w:r>
            <w:proofErr w:type="gramStart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الاقتصادي- البطالة</w:t>
            </w:r>
            <w:proofErr w:type="gramEnd"/>
            <w:r w:rsidRPr="00513A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التضخم- الصادرات والواردات ...) مع التذكير بطرق وكيفية قياس هذه المؤشرات الكلية)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النظرية الكلاسيكية في التوازن الاقتصادي </w:t>
            </w:r>
            <w:proofErr w:type="gram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العام  (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فرضيات + دالة الانتاج)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(مدخل للنموذج الكلاسيكي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 xml:space="preserve">، أهم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رواده، مبادئ النموذج الكلاسيكي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، فرضيات النموذج الكلاسيكي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توازن سوق العمل 1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دالة الإنتاج و علاقتها بعنصر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العمل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الطل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 على العمل و فرضية تعظيم الربح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الطلب عل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ى العمل و علاقته بالأجر الحقيقي جبريا و بيانيا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عرض العمل و فرضي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ة تعظيم المنفعة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عرض العمل و علاقته بالأجر الحقيقي جبريا و بيانيا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توازن سوق العمل 2</w:t>
            </w:r>
          </w:p>
          <w:p w:rsidR="00B13B1C" w:rsidRPr="003943CC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(التوازن في سوق العمل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تحديد حجم الإنتاج عند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توازن سوق العمل جبريا وبيانيا، اختلال التوازن وآليات إعادته عند الكلاسيك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أنواع البطالة في حا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لة الاختلال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أمثلة تطبيقية حول توازن سوق العمل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التاسع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توازن سوق السلع والخدمات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(الادخار عند الكلاسيك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علاقة الاد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خار بسعر الفائدة جبريا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 بيانيا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الاستهلاك عند الكلاسيك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الاستثمار عند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الكلاسيك و علاقته بسعر الفائدة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تحديد مشكلة التوازن عند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كلاسيك، التوازن في سوق السلع والخدمات جبريا و بيانيا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المرحة الأولى من تواز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 القطاع الحقيقي بيانيا و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جبريا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توازن سوق النقد (النظرية الكمية للنقود)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(عرض النقد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الطلب على النقد النظرية الكمية للنقود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( معادلة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فيشر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معادلة كمبر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 )، التوازن في سوق النقد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علاقة توازن سوق النقد بالدخل و الأسعار جبريا و هندسيا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/12/202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الحادي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التوازن الاقتصادي العام في التحليل الكلاسيكي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التوازن الآني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للقطاعين الحقيقي و النقدي جبريا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بيانيا ،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أثر تغير المتغ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يرات الحقيقية على التوازن الآني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أثر تغير المتغيرات النقدية على التوازن الآني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25163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  <w:r w:rsidR="00B13B1C">
              <w:rPr>
                <w:rFonts w:ascii="Sakkal Majalla" w:hAnsi="Sakkal Majalla" w:cs="Sakkal Majalla" w:hint="cs"/>
                <w:sz w:val="32"/>
                <w:szCs w:val="32"/>
                <w:rtl/>
              </w:rPr>
              <w:t>/12/202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النموذج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الكينزي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في التوازن الاقتصادي العام</w:t>
            </w: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(المبادئ والفرضيات)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مدخل للنموذج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و ظر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وف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نشأته، مبادئ النموذج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فرضيات النموذج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زي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/12/202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محددات الطلب الفعال (دالة الاستهلاك)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الطلب الفعال، دالة الاستهلاك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القانون السيكولوجي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لكينز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الميل الحدي للاستهلاك، الميل المتوسط للاستهلاك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العلاقة بينهما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معادلة الاستهلاك </w:t>
            </w:r>
            <w:proofErr w:type="spell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الكينزية</w:t>
            </w:r>
            <w:proofErr w:type="spell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جبريا </w:t>
            </w:r>
            <w:proofErr w:type="gramStart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و بيانيا</w:t>
            </w:r>
            <w:proofErr w:type="gramEnd"/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أمثلة تطبيقية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/01/202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الأسبوع 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محددات الطلب الفعال (الادخار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و </w:t>
            </w: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الاستثمار</w:t>
            </w:r>
            <w:proofErr w:type="gram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(دالة الادخار كتابع للدخل، اشتقاق معادلة الادخار، الميل الحدي للادخار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الميل المتوسط للادخار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العلاقة بينهما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لعلاقة بين الميل الحدي للاستهلاك والادخار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العلاقة بين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ميل المتوسط للادخار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 الاستهلاك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الادخار بيانيا، مفهوم عتبة الادخار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الاستثمار و فرضية ثباته.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B251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/01/202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</w:t>
            </w: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التوازن </w:t>
            </w:r>
            <w:proofErr w:type="spellStart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الكينزي</w:t>
            </w:r>
            <w:proofErr w:type="spellEnd"/>
            <w:r w:rsidRPr="004513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في اقتصاد بسيط(قطاعين)</w:t>
            </w:r>
          </w:p>
          <w:p w:rsidR="00B13B1C" w:rsidRPr="004513B5" w:rsidRDefault="00B13B1C" w:rsidP="0020043A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تحديد الدخل التوازني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بطريقة العرض الكلي الطلب الكلي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تحديد الدخل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توازني بطريقة الادخار الاستثمار، جبريا و هندسيا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أثر تغير المتغيرات الخارجية 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على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الدخل التوازني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أثر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المضاعف )، التباطؤ و المضاعف (</w:t>
            </w:r>
            <w:r w:rsidRPr="004513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التباطؤ في الانفاق ، التباطؤ في الإنتاج)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7D2E9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2</w:t>
            </w:r>
            <w:r w:rsidR="007D2E91"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/01/202</w:t>
            </w:r>
            <w:r w:rsidR="00B25163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B13B1C" w:rsidRPr="0050480E" w:rsidTr="0020043A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B13B1C" w:rsidRPr="0050480E" w:rsidTr="0020043A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B13B1C" w:rsidRPr="0058217A" w:rsidRDefault="00B13B1C" w:rsidP="0020043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B13B1C" w:rsidRPr="0058217A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B13B1C" w:rsidRPr="0050480E" w:rsidTr="0020043A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BE4D5" w:themeFill="accent2" w:themeFillTint="33"/>
            <w:vAlign w:val="center"/>
          </w:tcPr>
          <w:p w:rsidR="00B13B1C" w:rsidRPr="00A5569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B13B1C" w:rsidRPr="0050480E" w:rsidTr="0020043A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B13B1C" w:rsidRPr="004517BB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B13B1C" w:rsidRPr="008571B7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أحد كتب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الاقتصاد الكلي</w:t>
            </w:r>
            <w:r w:rsidRPr="008571B7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>(تشجيع الطالب على البحث على مراجع واستعمالها)</w:t>
            </w:r>
          </w:p>
          <w:p w:rsidR="00B13B1C" w:rsidRPr="004517BB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B13B1C" w:rsidRPr="004517BB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تقديم بطاقة قراءة لمحور كتاب في الاقتصاد الكلي.</w:t>
            </w:r>
          </w:p>
          <w:p w:rsidR="00B13B1C" w:rsidRPr="004517BB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B13B1C" w:rsidRPr="004517BB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B13B1C" w:rsidRPr="00A5569E" w:rsidRDefault="00B13B1C" w:rsidP="0020043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B13B1C" w:rsidRPr="0050480E" w:rsidTr="0020043A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13B1C" w:rsidRPr="00A5569E" w:rsidRDefault="00B13B1C" w:rsidP="0020043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B13B1C" w:rsidRPr="0050480E" w:rsidTr="0020043A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B13B1C" w:rsidRPr="0050480E" w:rsidTr="0020043A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A27B9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47F24F83" wp14:editId="35E14129">
                  <wp:extent cx="1126633" cy="6477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3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1C" w:rsidRPr="0050480E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B13B1C" w:rsidRPr="0050480E" w:rsidTr="0020043A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13B1C" w:rsidRPr="005C7BB6" w:rsidRDefault="00B13B1C" w:rsidP="0020043A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B13B1C" w:rsidRPr="005E22CE" w:rsidRDefault="00B13B1C" w:rsidP="00B13B1C"/>
    <w:p w:rsidR="00B13B1C" w:rsidRDefault="00B13B1C" w:rsidP="00B13B1C"/>
    <w:p w:rsidR="00B13B1C" w:rsidRDefault="00B13B1C" w:rsidP="00B13B1C"/>
    <w:p w:rsidR="00E912F2" w:rsidRDefault="00E912F2"/>
    <w:sectPr w:rsidR="00E912F2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BA" w:rsidRDefault="00E662BA">
      <w:pPr>
        <w:spacing w:after="0" w:line="240" w:lineRule="auto"/>
      </w:pPr>
      <w:r>
        <w:separator/>
      </w:r>
    </w:p>
  </w:endnote>
  <w:endnote w:type="continuationSeparator" w:id="0">
    <w:p w:rsidR="00E662BA" w:rsidRDefault="00E6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E662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7D2E91" w:rsidP="00343D69">
    <w:pPr>
      <w:pStyle w:val="Pieddepag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8E2CD5" w:rsidRPr="008E2CD5">
      <w:rPr>
        <w:rFonts w:asciiTheme="majorHAnsi" w:hAnsiTheme="majorHAnsi"/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E662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BA" w:rsidRDefault="00E662BA">
      <w:pPr>
        <w:spacing w:after="0" w:line="240" w:lineRule="auto"/>
      </w:pPr>
      <w:r>
        <w:separator/>
      </w:r>
    </w:p>
  </w:footnote>
  <w:footnote w:type="continuationSeparator" w:id="0">
    <w:p w:rsidR="00E662BA" w:rsidRDefault="00E6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E662B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E662B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E662B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1C"/>
    <w:rsid w:val="003D2CB7"/>
    <w:rsid w:val="007D2E91"/>
    <w:rsid w:val="008E2CD5"/>
    <w:rsid w:val="00B13B1C"/>
    <w:rsid w:val="00B25163"/>
    <w:rsid w:val="00E662BA"/>
    <w:rsid w:val="00E9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0E96E-5BB1-4B9C-A49C-94ACE53B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1C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13B1C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B13B1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13B1C"/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B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B1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B1C"/>
    <w:rPr>
      <w:rFonts w:eastAsiaTheme="minorEastAsia"/>
      <w:lang w:eastAsia="fr-FR"/>
    </w:rPr>
  </w:style>
  <w:style w:type="character" w:customStyle="1" w:styleId="fontstyle01">
    <w:name w:val="fontstyle01"/>
    <w:basedOn w:val="Policepardfaut"/>
    <w:rsid w:val="00B13B1C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CD5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1326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benouareth</dc:creator>
  <cp:keywords/>
  <dc:description/>
  <cp:lastModifiedBy>benouareth</cp:lastModifiedBy>
  <cp:revision>5</cp:revision>
  <cp:lastPrinted>2025-10-05T22:22:00Z</cp:lastPrinted>
  <dcterms:created xsi:type="dcterms:W3CDTF">2025-09-30T18:31:00Z</dcterms:created>
  <dcterms:modified xsi:type="dcterms:W3CDTF">2025-10-08T00:28:00Z</dcterms:modified>
</cp:coreProperties>
</file>