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89726" w14:textId="29D6A66E" w:rsidR="001761E3" w:rsidRDefault="001761E3" w:rsidP="007673F2">
      <w:pPr>
        <w:bidi/>
        <w:rPr>
          <w:rtl/>
        </w:rPr>
      </w:pPr>
    </w:p>
    <w:p w14:paraId="2ABB88D4" w14:textId="777CEFB3" w:rsidR="00402856" w:rsidRDefault="00402856" w:rsidP="00402856">
      <w:pPr>
        <w:bidi/>
        <w:rPr>
          <w:rtl/>
        </w:rPr>
      </w:pPr>
    </w:p>
    <w:p w14:paraId="0F049932" w14:textId="659ECDD8" w:rsidR="00402856" w:rsidRDefault="00402856" w:rsidP="00402856">
      <w:pPr>
        <w:tabs>
          <w:tab w:val="left" w:pos="3885"/>
        </w:tabs>
        <w:bidi/>
        <w:rPr>
          <w:rtl/>
        </w:rPr>
      </w:pPr>
      <w:r>
        <w:rPr>
          <w:rtl/>
        </w:rPr>
        <w:tab/>
      </w:r>
      <w:r w:rsidR="00890898">
        <w:rPr>
          <w:rFonts w:hint="cs"/>
          <w:b/>
          <w:bCs/>
          <w:u w:val="single"/>
          <w:rtl/>
          <w:lang w:bidi="ar-DZ"/>
        </w:rPr>
        <w:t xml:space="preserve">التطبيق </w:t>
      </w:r>
      <w:r w:rsidRPr="00FB3C93">
        <w:rPr>
          <w:rFonts w:hint="cs"/>
          <w:b/>
          <w:bCs/>
          <w:u w:val="single"/>
          <w:rtl/>
        </w:rPr>
        <w:t xml:space="preserve"> رقم 01</w:t>
      </w:r>
    </w:p>
    <w:p w14:paraId="4100859A" w14:textId="25A6458D" w:rsidR="00FB3C93" w:rsidRPr="00FB3C93" w:rsidRDefault="00074876" w:rsidP="00074876">
      <w:pPr>
        <w:bidi/>
        <w:jc w:val="center"/>
        <w:rPr>
          <w:rtl/>
        </w:rPr>
      </w:pPr>
      <w:r>
        <w:rPr>
          <w:rFonts w:hint="cs"/>
          <w:rtl/>
        </w:rPr>
        <w:t>المحور الاول</w:t>
      </w:r>
    </w:p>
    <w:p w14:paraId="3FE28C01" w14:textId="31BFA4C2" w:rsidR="00B6712E" w:rsidRPr="00B6712E" w:rsidRDefault="00B6712E" w:rsidP="00B6712E">
      <w:pPr>
        <w:pStyle w:val="Paragraphedeliste"/>
        <w:numPr>
          <w:ilvl w:val="0"/>
          <w:numId w:val="3"/>
        </w:numPr>
        <w:bidi/>
        <w:spacing w:after="0"/>
        <w:jc w:val="both"/>
        <w:rPr>
          <w:rFonts w:ascii="Simplified Arabic" w:hAnsi="Simplified Arabic" w:cs="Simplified Arabic"/>
          <w:b/>
          <w:bCs/>
          <w:sz w:val="28"/>
          <w:szCs w:val="28"/>
          <w:rtl/>
          <w:lang w:bidi="ar-DZ"/>
        </w:rPr>
      </w:pPr>
      <w:r w:rsidRPr="00A47013">
        <w:rPr>
          <w:rFonts w:ascii="Simplified Arabic" w:hAnsi="Simplified Arabic" w:cs="Simplified Arabic"/>
          <w:b/>
          <w:bCs/>
          <w:sz w:val="28"/>
          <w:szCs w:val="28"/>
          <w:rtl/>
          <w:lang w:bidi="ar-DZ"/>
        </w:rPr>
        <w:t xml:space="preserve">الأطراف المهتمة بتحليل القوائم المالية </w:t>
      </w:r>
    </w:p>
    <w:p w14:paraId="7121D7EE" w14:textId="31F3A288" w:rsidR="00B6712E" w:rsidRPr="00033AE0" w:rsidRDefault="00B6712E" w:rsidP="00033AE0">
      <w:pPr>
        <w:pStyle w:val="Paragraphedeliste"/>
        <w:numPr>
          <w:ilvl w:val="1"/>
          <w:numId w:val="4"/>
        </w:numPr>
        <w:bidi/>
        <w:spacing w:after="0"/>
        <w:jc w:val="both"/>
        <w:rPr>
          <w:rFonts w:ascii="Simplified Arabic" w:hAnsi="Simplified Arabic" w:cs="Simplified Arabic"/>
          <w:sz w:val="28"/>
          <w:szCs w:val="28"/>
          <w:rtl/>
          <w:lang w:bidi="ar-DZ"/>
        </w:rPr>
      </w:pPr>
      <w:r w:rsidRPr="00033AE0">
        <w:rPr>
          <w:rFonts w:ascii="Simplified Arabic" w:hAnsi="Simplified Arabic" w:cs="Simplified Arabic"/>
          <w:b/>
          <w:bCs/>
          <w:sz w:val="28"/>
          <w:szCs w:val="28"/>
          <w:rtl/>
          <w:lang w:bidi="ar-DZ"/>
        </w:rPr>
        <w:t>الأطراف الداخلية:</w:t>
      </w:r>
      <w:r w:rsidRPr="00033AE0">
        <w:rPr>
          <w:rFonts w:ascii="Simplified Arabic" w:hAnsi="Simplified Arabic" w:cs="Simplified Arabic"/>
          <w:sz w:val="28"/>
          <w:szCs w:val="28"/>
          <w:rtl/>
          <w:lang w:bidi="ar-DZ"/>
        </w:rPr>
        <w:t xml:space="preserve"> واهم هذه الأطراف الإدارة والعاملين والموظفين:</w:t>
      </w:r>
    </w:p>
    <w:p w14:paraId="3A65AFEF" w14:textId="7D1B9E73" w:rsidR="00B6712E" w:rsidRPr="00033AE0" w:rsidRDefault="00B6712E" w:rsidP="00033AE0">
      <w:pPr>
        <w:pStyle w:val="Paragraphedeliste"/>
        <w:numPr>
          <w:ilvl w:val="0"/>
          <w:numId w:val="2"/>
        </w:numPr>
        <w:bidi/>
        <w:spacing w:after="0"/>
        <w:jc w:val="both"/>
        <w:rPr>
          <w:rFonts w:ascii="Simplified Arabic" w:hAnsi="Simplified Arabic" w:cs="Simplified Arabic"/>
          <w:sz w:val="28"/>
          <w:szCs w:val="28"/>
          <w:lang w:bidi="ar-DZ"/>
        </w:rPr>
      </w:pPr>
      <w:r w:rsidRPr="00033AE0">
        <w:rPr>
          <w:rFonts w:ascii="Simplified Arabic" w:hAnsi="Simplified Arabic" w:cs="Simplified Arabic"/>
          <w:sz w:val="28"/>
          <w:szCs w:val="28"/>
          <w:rtl/>
          <w:lang w:bidi="ar-DZ"/>
        </w:rPr>
        <w:t>الإدارة: الإدارة بمختلف مستوياتها ابتداء من مجلس الإدارة مرورا بالمدير العام ومدراء الدوائر وانتهاء بالمستويات الدنيا منها، تهتم بالتحليل المالي كل حسب مهامه ومسؤولياته، إلا أنها بشكل عام تسعى من خلاله إلى تحقيق الأهداف التالية:</w:t>
      </w:r>
    </w:p>
    <w:p w14:paraId="6A1B4202" w14:textId="77777777" w:rsidR="00B6712E" w:rsidRPr="00A47013" w:rsidRDefault="00B6712E" w:rsidP="00B6712E">
      <w:pPr>
        <w:pStyle w:val="Paragraphedeliste"/>
        <w:numPr>
          <w:ilvl w:val="0"/>
          <w:numId w:val="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تقييم الأداء لمختلف الإدارات والمستويات، والحكم على كفاءتها في استخدام الموارد المالية وبالتالي إحكام نظام الرقابة الداخلية.</w:t>
      </w:r>
    </w:p>
    <w:p w14:paraId="32C02CEE" w14:textId="67F2CED9" w:rsidR="00B6712E" w:rsidRDefault="00B6712E" w:rsidP="00B6712E">
      <w:pPr>
        <w:pStyle w:val="Paragraphedeliste"/>
        <w:numPr>
          <w:ilvl w:val="0"/>
          <w:numId w:val="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مدى النجاح الذي أنجز في تحقيق الأهداف المرجوة في المنشاة.</w:t>
      </w:r>
    </w:p>
    <w:p w14:paraId="3B4A6BAE" w14:textId="77777777" w:rsidR="00B6712E" w:rsidRPr="00033AE0" w:rsidRDefault="00B6712E" w:rsidP="00033AE0">
      <w:pPr>
        <w:pStyle w:val="Paragraphedeliste"/>
        <w:numPr>
          <w:ilvl w:val="0"/>
          <w:numId w:val="2"/>
        </w:numPr>
        <w:bidi/>
        <w:spacing w:after="0"/>
        <w:jc w:val="both"/>
        <w:rPr>
          <w:rFonts w:ascii="Simplified Arabic" w:hAnsi="Simplified Arabic" w:cs="Simplified Arabic"/>
          <w:sz w:val="28"/>
          <w:szCs w:val="28"/>
          <w:lang w:bidi="ar-DZ"/>
        </w:rPr>
      </w:pPr>
      <w:r w:rsidRPr="00033AE0">
        <w:rPr>
          <w:rFonts w:ascii="Simplified Arabic" w:hAnsi="Simplified Arabic" w:cs="Simplified Arabic"/>
          <w:sz w:val="28"/>
          <w:szCs w:val="28"/>
          <w:rtl/>
          <w:lang w:bidi="ar-DZ"/>
        </w:rPr>
        <w:t xml:space="preserve">الموظفون والعمال: تهتم هذه الفئة بتحليل القوائم المالية حتى تطمئن على استقرارها الوظيفي والمرتبط باستمرارية المشروع، كما تهتم بالتعرف على أرباح المشروع التي تؤثر بشكل أو بآخر على أجور العاملين ومكافآتهم بل وعلى الخدمات </w:t>
      </w:r>
      <w:proofErr w:type="gramStart"/>
      <w:r w:rsidRPr="00033AE0">
        <w:rPr>
          <w:rFonts w:ascii="Simplified Arabic" w:hAnsi="Simplified Arabic" w:cs="Simplified Arabic"/>
          <w:sz w:val="28"/>
          <w:szCs w:val="28"/>
          <w:rtl/>
          <w:lang w:bidi="ar-DZ"/>
        </w:rPr>
        <w:t>الاجتماعية .</w:t>
      </w:r>
      <w:proofErr w:type="gramEnd"/>
    </w:p>
    <w:p w14:paraId="3111D7E4" w14:textId="515E45A9" w:rsidR="00B6712E" w:rsidRPr="00A47013" w:rsidRDefault="00B6712E" w:rsidP="00B6712E">
      <w:pPr>
        <w:bidi/>
        <w:spacing w:after="0"/>
        <w:ind w:left="54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1-2  </w:t>
      </w:r>
      <w:r w:rsidRPr="00A47013">
        <w:rPr>
          <w:rFonts w:ascii="Simplified Arabic" w:hAnsi="Simplified Arabic" w:cs="Simplified Arabic"/>
          <w:b/>
          <w:bCs/>
          <w:sz w:val="28"/>
          <w:szCs w:val="28"/>
          <w:rtl/>
          <w:lang w:bidi="ar-DZ"/>
        </w:rPr>
        <w:t xml:space="preserve"> الأطراف الخارجية</w:t>
      </w:r>
    </w:p>
    <w:p w14:paraId="14940BF7" w14:textId="14EACC04" w:rsidR="00B6712E" w:rsidRDefault="00B6712E" w:rsidP="00B6712E">
      <w:pPr>
        <w:bidi/>
        <w:spacing w:after="0"/>
        <w:ind w:left="180"/>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     هم كافة الأطراف من خارج المنشاة الذين لهم مصالح معها، وبالتالي تتعامل مع نتائج التحليل المالي الخاص بالمنشاة حسب درجة علاقتها بالمنشاة، إلا انه يمكن أن يكون لهم مصلحة بنتائج التحليل مثل المستثمرون الحاليون والمتوقعون، والمقرضون على اختلاف فئاتهم، والدائنون التجاريون</w:t>
      </w:r>
      <w:r w:rsidR="00C53860">
        <w:rPr>
          <w:rFonts w:ascii="Simplified Arabic" w:hAnsi="Simplified Arabic" w:cs="Simplified Arabic" w:hint="cs"/>
          <w:sz w:val="28"/>
          <w:szCs w:val="28"/>
          <w:rtl/>
          <w:lang w:bidi="ar-DZ"/>
        </w:rPr>
        <w:t>.</w:t>
      </w:r>
    </w:p>
    <w:p w14:paraId="25AA4FEB" w14:textId="246CE12A" w:rsidR="00EF4823" w:rsidRPr="00A47013" w:rsidRDefault="00EF4823" w:rsidP="00EF4823">
      <w:pPr>
        <w:pStyle w:val="Paragraphedeliste"/>
        <w:numPr>
          <w:ilvl w:val="0"/>
          <w:numId w:val="3"/>
        </w:numPr>
        <w:bidi/>
        <w:spacing w:after="0"/>
        <w:jc w:val="both"/>
        <w:rPr>
          <w:rFonts w:ascii="Simplified Arabic" w:hAnsi="Simplified Arabic" w:cs="Simplified Arabic"/>
          <w:b/>
          <w:bCs/>
          <w:sz w:val="28"/>
          <w:szCs w:val="28"/>
          <w:rtl/>
          <w:lang w:bidi="ar-DZ"/>
        </w:rPr>
      </w:pPr>
      <w:r w:rsidRPr="00A47013">
        <w:rPr>
          <w:rFonts w:ascii="Simplified Arabic" w:hAnsi="Simplified Arabic" w:cs="Simplified Arabic"/>
          <w:b/>
          <w:bCs/>
          <w:sz w:val="28"/>
          <w:szCs w:val="28"/>
          <w:rtl/>
          <w:lang w:bidi="ar-DZ"/>
        </w:rPr>
        <w:t>القوائم المالية كأهم مدخلات التحليل المالي</w:t>
      </w:r>
    </w:p>
    <w:p w14:paraId="11C8AC63" w14:textId="46206305" w:rsidR="00EF4823" w:rsidRPr="00A47013" w:rsidRDefault="00EF4823" w:rsidP="00EF4823">
      <w:pPr>
        <w:bidi/>
        <w:spacing w:after="0"/>
        <w:ind w:left="425"/>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2-1 </w:t>
      </w:r>
      <w:r w:rsidRPr="00A47013">
        <w:rPr>
          <w:rFonts w:ascii="Simplified Arabic" w:hAnsi="Simplified Arabic" w:cs="Simplified Arabic"/>
          <w:b/>
          <w:bCs/>
          <w:sz w:val="28"/>
          <w:szCs w:val="28"/>
          <w:rtl/>
          <w:lang w:bidi="ar-DZ"/>
        </w:rPr>
        <w:t>مفهوم وأهداف القوائم المالية</w:t>
      </w:r>
    </w:p>
    <w:p w14:paraId="5A8A066A" w14:textId="77777777" w:rsidR="00EF4823" w:rsidRPr="00A47013" w:rsidRDefault="00EF4823" w:rsidP="00EF4823">
      <w:pPr>
        <w:bidi/>
        <w:spacing w:after="0"/>
        <w:ind w:left="425"/>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أولا: مفهوم القوائم المالية</w:t>
      </w:r>
    </w:p>
    <w:p w14:paraId="6222B197" w14:textId="0A3E949B" w:rsidR="00EF4823" w:rsidRPr="00A47013" w:rsidRDefault="00EF4823" w:rsidP="00EF4823">
      <w:pPr>
        <w:bidi/>
        <w:spacing w:after="0"/>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     وحسب ما حددته المادة 25 من القانون 07/11 المتعلق بالنظام المحاسبي المالي أنه "تعد الكيانات التي تدخل في مجال تطبيق هذا </w:t>
      </w:r>
      <w:proofErr w:type="spellStart"/>
      <w:proofErr w:type="gramStart"/>
      <w:r w:rsidRPr="00A47013">
        <w:rPr>
          <w:rFonts w:ascii="Simplified Arabic" w:hAnsi="Simplified Arabic" w:cs="Simplified Arabic"/>
          <w:sz w:val="28"/>
          <w:szCs w:val="28"/>
          <w:rtl/>
          <w:lang w:bidi="ar-DZ"/>
        </w:rPr>
        <w:t>القانون،الكشوف</w:t>
      </w:r>
      <w:proofErr w:type="spellEnd"/>
      <w:proofErr w:type="gramEnd"/>
      <w:r w:rsidRPr="00A47013">
        <w:rPr>
          <w:rFonts w:ascii="Simplified Arabic" w:hAnsi="Simplified Arabic" w:cs="Simplified Arabic"/>
          <w:sz w:val="28"/>
          <w:szCs w:val="28"/>
          <w:rtl/>
          <w:lang w:bidi="ar-DZ"/>
        </w:rPr>
        <w:t xml:space="preserve"> المالية سنويا على </w:t>
      </w:r>
      <w:proofErr w:type="spellStart"/>
      <w:r w:rsidRPr="00A47013">
        <w:rPr>
          <w:rFonts w:ascii="Simplified Arabic" w:hAnsi="Simplified Arabic" w:cs="Simplified Arabic"/>
          <w:sz w:val="28"/>
          <w:szCs w:val="28"/>
          <w:rtl/>
          <w:lang w:bidi="ar-DZ"/>
        </w:rPr>
        <w:t>الأقل،تتضمن</w:t>
      </w:r>
      <w:proofErr w:type="spellEnd"/>
      <w:r w:rsidRPr="00A47013">
        <w:rPr>
          <w:rFonts w:ascii="Simplified Arabic" w:hAnsi="Simplified Arabic" w:cs="Simplified Arabic"/>
          <w:sz w:val="28"/>
          <w:szCs w:val="28"/>
          <w:rtl/>
          <w:lang w:bidi="ar-DZ"/>
        </w:rPr>
        <w:t xml:space="preserve"> الكشوف المالية الخاصة بالكيانات عدا الكيانات الصغيرة :</w:t>
      </w:r>
    </w:p>
    <w:p w14:paraId="6803E67D" w14:textId="77777777" w:rsidR="00EF4823" w:rsidRPr="00A47013" w:rsidRDefault="00EF4823" w:rsidP="00EF4823">
      <w:pPr>
        <w:pStyle w:val="Paragraphedeliste"/>
        <w:numPr>
          <w:ilvl w:val="0"/>
          <w:numId w:val="1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lastRenderedPageBreak/>
        <w:t>الميزانية؛</w:t>
      </w:r>
    </w:p>
    <w:p w14:paraId="78AE342E" w14:textId="77777777" w:rsidR="00EF4823" w:rsidRPr="00A47013" w:rsidRDefault="00EF4823" w:rsidP="00EF4823">
      <w:pPr>
        <w:pStyle w:val="Paragraphedeliste"/>
        <w:numPr>
          <w:ilvl w:val="0"/>
          <w:numId w:val="1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حساب النتائج؛</w:t>
      </w:r>
    </w:p>
    <w:p w14:paraId="4E14C2B2" w14:textId="77777777" w:rsidR="00EF4823" w:rsidRPr="00A47013" w:rsidRDefault="00EF4823" w:rsidP="00EF4823">
      <w:pPr>
        <w:pStyle w:val="Paragraphedeliste"/>
        <w:numPr>
          <w:ilvl w:val="0"/>
          <w:numId w:val="1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جدول سيولة الخزينة؛</w:t>
      </w:r>
    </w:p>
    <w:p w14:paraId="0D7DF56B" w14:textId="77777777" w:rsidR="00EF4823" w:rsidRPr="00A47013" w:rsidRDefault="00EF4823" w:rsidP="00EF4823">
      <w:pPr>
        <w:pStyle w:val="Paragraphedeliste"/>
        <w:numPr>
          <w:ilvl w:val="0"/>
          <w:numId w:val="1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جدول تغير الأموال الخاصة؛</w:t>
      </w:r>
    </w:p>
    <w:p w14:paraId="343CB9AD" w14:textId="77777777" w:rsidR="00EF4823" w:rsidRPr="00A47013" w:rsidRDefault="00EF4823" w:rsidP="00EF4823">
      <w:pPr>
        <w:pStyle w:val="Paragraphedeliste"/>
        <w:numPr>
          <w:ilvl w:val="0"/>
          <w:numId w:val="12"/>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ملحق يبين القواعد والطرق المحاسبية المستعملة ويوفر معلومات مكملة عن الميزانية وحساب النتائج. "</w:t>
      </w:r>
    </w:p>
    <w:p w14:paraId="7929F54D" w14:textId="77777777" w:rsidR="00EF4823" w:rsidRPr="00A47013" w:rsidRDefault="00EF4823" w:rsidP="00EF4823">
      <w:pPr>
        <w:bidi/>
        <w:spacing w:after="0"/>
        <w:ind w:left="643"/>
        <w:jc w:val="both"/>
        <w:rPr>
          <w:rFonts w:ascii="Simplified Arabic" w:hAnsi="Simplified Arabic" w:cs="Simplified Arabic"/>
          <w:b/>
          <w:bCs/>
          <w:sz w:val="28"/>
          <w:szCs w:val="28"/>
          <w:rtl/>
          <w:lang w:bidi="ar-DZ"/>
        </w:rPr>
      </w:pPr>
      <w:r w:rsidRPr="00A47013">
        <w:rPr>
          <w:rFonts w:ascii="Simplified Arabic" w:hAnsi="Simplified Arabic" w:cs="Simplified Arabic"/>
          <w:b/>
          <w:bCs/>
          <w:sz w:val="28"/>
          <w:szCs w:val="28"/>
          <w:rtl/>
          <w:lang w:bidi="ar-DZ"/>
        </w:rPr>
        <w:t xml:space="preserve">ثانيا: أهداف القوائم المالية </w:t>
      </w:r>
    </w:p>
    <w:p w14:paraId="7C5225DA" w14:textId="7AEC8FFB" w:rsidR="00EF4823" w:rsidRPr="00A47013" w:rsidRDefault="00EF4823" w:rsidP="00EF4823">
      <w:pPr>
        <w:pStyle w:val="Paragraphedeliste"/>
        <w:numPr>
          <w:ilvl w:val="0"/>
          <w:numId w:val="9"/>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تهدف القوائم المالية إلى تقديم معلومات عن الوضع المالي، نتائج الأعمال والتغير في الوضع المالي للمؤسسة</w:t>
      </w:r>
      <w:r w:rsidR="000F5E1B">
        <w:rPr>
          <w:rFonts w:ascii="Simplified Arabic" w:hAnsi="Simplified Arabic" w:cs="Simplified Arabic" w:hint="cs"/>
          <w:sz w:val="28"/>
          <w:szCs w:val="28"/>
          <w:rtl/>
          <w:lang w:bidi="ar-DZ"/>
        </w:rPr>
        <w:t>.</w:t>
      </w:r>
    </w:p>
    <w:p w14:paraId="76831F51" w14:textId="63DB4642" w:rsidR="00EF4823" w:rsidRPr="00A47013" w:rsidRDefault="00EF4823" w:rsidP="00EF4823">
      <w:pPr>
        <w:pStyle w:val="Paragraphedeliste"/>
        <w:numPr>
          <w:ilvl w:val="0"/>
          <w:numId w:val="9"/>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تلبي القوائم المالية المعدة لهذا الغرض الاحتياجات المشتركة لمعظم المستخدمين ومع ذلك فإنها تعكس الآثار المالية للأحداث التاريخية ولا توفر بالضرورة معلومات غير مالية.</w:t>
      </w:r>
    </w:p>
    <w:p w14:paraId="1F5561D6" w14:textId="04808986" w:rsidR="00EF4823" w:rsidRPr="003C3716" w:rsidRDefault="00EF4823" w:rsidP="00EF4823">
      <w:pPr>
        <w:pStyle w:val="Paragraphedeliste"/>
        <w:numPr>
          <w:ilvl w:val="0"/>
          <w:numId w:val="9"/>
        </w:numPr>
        <w:bidi/>
        <w:spacing w:after="0"/>
        <w:jc w:val="both"/>
        <w:rPr>
          <w:rFonts w:ascii="Simplified Arabic" w:hAnsi="Simplified Arabic" w:cs="Simplified Arabic"/>
          <w:sz w:val="28"/>
          <w:szCs w:val="28"/>
          <w:lang w:bidi="ar-DZ"/>
        </w:rPr>
      </w:pPr>
      <w:r w:rsidRPr="00A47013">
        <w:rPr>
          <w:rFonts w:ascii="Simplified Arabic" w:hAnsi="Simplified Arabic" w:cs="Simplified Arabic"/>
          <w:sz w:val="28"/>
          <w:szCs w:val="28"/>
          <w:rtl/>
          <w:lang w:bidi="ar-DZ"/>
        </w:rPr>
        <w:t xml:space="preserve">تظهر أيضا نتائج تقييم كفاءة الإدارة في القيام بواجباتها وتساعد في محاسبتها عن الموارد المؤتمنة عليها. </w:t>
      </w:r>
    </w:p>
    <w:p w14:paraId="29970883" w14:textId="0751AA14" w:rsidR="00EF4823" w:rsidRPr="00A47013" w:rsidRDefault="00EF4823" w:rsidP="00EF4823">
      <w:pPr>
        <w:bidi/>
        <w:spacing w:after="0"/>
        <w:jc w:val="both"/>
        <w:rPr>
          <w:rFonts w:ascii="Simplified Arabic" w:hAnsi="Simplified Arabic" w:cs="Simplified Arabic"/>
          <w:b/>
          <w:bCs/>
          <w:sz w:val="28"/>
          <w:szCs w:val="28"/>
          <w:rtl/>
          <w:lang w:bidi="ar-DZ"/>
        </w:rPr>
      </w:pPr>
      <w:r w:rsidRPr="00A47013">
        <w:rPr>
          <w:rFonts w:ascii="Simplified Arabic" w:hAnsi="Simplified Arabic" w:cs="Simplified Arabic"/>
          <w:b/>
          <w:bCs/>
          <w:sz w:val="28"/>
          <w:szCs w:val="28"/>
          <w:rtl/>
          <w:lang w:bidi="ar-DZ"/>
        </w:rPr>
        <w:t>2-</w:t>
      </w:r>
      <w:proofErr w:type="gramStart"/>
      <w:r w:rsidRPr="00A47013">
        <w:rPr>
          <w:rFonts w:ascii="Simplified Arabic" w:hAnsi="Simplified Arabic" w:cs="Simplified Arabic"/>
          <w:b/>
          <w:bCs/>
          <w:sz w:val="28"/>
          <w:szCs w:val="28"/>
          <w:rtl/>
          <w:lang w:bidi="ar-DZ"/>
        </w:rPr>
        <w:t>2  أنواع</w:t>
      </w:r>
      <w:proofErr w:type="gramEnd"/>
      <w:r w:rsidRPr="00A47013">
        <w:rPr>
          <w:rFonts w:ascii="Simplified Arabic" w:hAnsi="Simplified Arabic" w:cs="Simplified Arabic"/>
          <w:b/>
          <w:bCs/>
          <w:sz w:val="28"/>
          <w:szCs w:val="28"/>
          <w:rtl/>
          <w:lang w:bidi="ar-DZ"/>
        </w:rPr>
        <w:t xml:space="preserve"> القوائم المالية </w:t>
      </w:r>
    </w:p>
    <w:p w14:paraId="222E6528" w14:textId="77777777" w:rsidR="00EF4823" w:rsidRPr="00A47013" w:rsidRDefault="00EF4823" w:rsidP="00EF4823">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proofErr w:type="gramStart"/>
      <w:r w:rsidRPr="00A47013">
        <w:rPr>
          <w:rFonts w:ascii="Simplified Arabic" w:hAnsi="Simplified Arabic" w:cs="Simplified Arabic"/>
          <w:b/>
          <w:bCs/>
          <w:sz w:val="28"/>
          <w:szCs w:val="28"/>
          <w:rtl/>
          <w:lang w:bidi="ar-DZ"/>
        </w:rPr>
        <w:t>أولا:  الميزانية</w:t>
      </w:r>
      <w:proofErr w:type="gramEnd"/>
      <w:r w:rsidRPr="00A47013">
        <w:rPr>
          <w:rFonts w:ascii="Simplified Arabic" w:hAnsi="Simplified Arabic" w:cs="Simplified Arabic"/>
          <w:b/>
          <w:bCs/>
          <w:sz w:val="28"/>
          <w:szCs w:val="28"/>
          <w:rtl/>
          <w:lang w:bidi="ar-DZ"/>
        </w:rPr>
        <w:t xml:space="preserve"> </w:t>
      </w:r>
    </w:p>
    <w:p w14:paraId="290E57BA" w14:textId="6B6BA64C" w:rsidR="00EF4823" w:rsidRPr="005F68EC" w:rsidRDefault="00EF4823" w:rsidP="005F68EC">
      <w:pPr>
        <w:pStyle w:val="Paragraphedeliste"/>
        <w:numPr>
          <w:ilvl w:val="0"/>
          <w:numId w:val="8"/>
        </w:numPr>
        <w:bidi/>
        <w:spacing w:after="0"/>
        <w:jc w:val="both"/>
        <w:rPr>
          <w:rFonts w:ascii="Simplified Arabic" w:hAnsi="Simplified Arabic" w:cs="Simplified Arabic"/>
          <w:sz w:val="28"/>
          <w:szCs w:val="28"/>
          <w:rtl/>
          <w:lang w:bidi="ar-DZ"/>
        </w:rPr>
      </w:pPr>
      <w:r w:rsidRPr="00357DE9">
        <w:rPr>
          <w:rFonts w:ascii="Simplified Arabic" w:hAnsi="Simplified Arabic" w:cs="Simplified Arabic"/>
          <w:sz w:val="28"/>
          <w:szCs w:val="28"/>
          <w:rtl/>
          <w:lang w:bidi="ar-DZ"/>
        </w:rPr>
        <w:t xml:space="preserve">تعريف الميزانية </w:t>
      </w:r>
    </w:p>
    <w:p w14:paraId="1746CCB1" w14:textId="3C183262" w:rsidR="00EF4823" w:rsidRPr="00A47013" w:rsidRDefault="00EF4823" w:rsidP="005F68EC">
      <w:pPr>
        <w:bidi/>
        <w:spacing w:after="0"/>
        <w:ind w:left="180"/>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    تعرف الميزانية حسب المادة 33 من المرسوم التنفيذي 08/156 المتضمن النظام المحاسبي المالي: "تحدد الميزانية بصفة منفصلة عناصر الأصول وعناصر الخصوم، ويبرز عرض الأصول و الخصوم داخل الميزانية الفصل بين العناصر الجارية (المتداولة) والعناصر غير </w:t>
      </w:r>
      <w:proofErr w:type="spellStart"/>
      <w:proofErr w:type="gramStart"/>
      <w:r w:rsidRPr="00A47013">
        <w:rPr>
          <w:rFonts w:ascii="Simplified Arabic" w:hAnsi="Simplified Arabic" w:cs="Simplified Arabic"/>
          <w:sz w:val="28"/>
          <w:szCs w:val="28"/>
          <w:rtl/>
          <w:lang w:bidi="ar-DZ"/>
        </w:rPr>
        <w:t>جارية،حيث</w:t>
      </w:r>
      <w:proofErr w:type="spellEnd"/>
      <w:proofErr w:type="gramEnd"/>
      <w:r w:rsidRPr="00A47013">
        <w:rPr>
          <w:rFonts w:ascii="Simplified Arabic" w:hAnsi="Simplified Arabic" w:cs="Simplified Arabic"/>
          <w:sz w:val="28"/>
          <w:szCs w:val="28"/>
          <w:rtl/>
          <w:lang w:bidi="ar-DZ"/>
        </w:rPr>
        <w:t xml:space="preserve"> أن الأصول ترتب حسب درجة سيولتها أما الخصوم حسب درجة استحقاقها بالإضافة </w:t>
      </w:r>
      <w:r w:rsidRPr="00A47013">
        <w:rPr>
          <w:rFonts w:ascii="Simplified Arabic" w:hAnsi="Simplified Arabic" w:cs="Simplified Arabic" w:hint="cs"/>
          <w:sz w:val="28"/>
          <w:szCs w:val="28"/>
          <w:rtl/>
          <w:lang w:bidi="ar-DZ"/>
        </w:rPr>
        <w:t>إلى</w:t>
      </w:r>
      <w:r w:rsidRPr="00A47013">
        <w:rPr>
          <w:rFonts w:ascii="Simplified Arabic" w:hAnsi="Simplified Arabic" w:cs="Simplified Arabic"/>
          <w:sz w:val="28"/>
          <w:szCs w:val="28"/>
          <w:rtl/>
          <w:lang w:bidi="ar-DZ"/>
        </w:rPr>
        <w:t xml:space="preserve"> مبدأ السنوية في التفرقة بين العناصر المتداولة والغير متداولة".</w:t>
      </w:r>
    </w:p>
    <w:p w14:paraId="1227618B" w14:textId="77777777" w:rsidR="00EF4823" w:rsidRPr="00357DE9" w:rsidRDefault="00EF4823" w:rsidP="00EF4823">
      <w:pPr>
        <w:pStyle w:val="Paragraphedeliste"/>
        <w:numPr>
          <w:ilvl w:val="0"/>
          <w:numId w:val="5"/>
        </w:numPr>
        <w:bidi/>
        <w:spacing w:after="0"/>
        <w:ind w:left="423"/>
        <w:jc w:val="both"/>
        <w:rPr>
          <w:rFonts w:ascii="Simplified Arabic" w:hAnsi="Simplified Arabic" w:cs="Simplified Arabic"/>
          <w:sz w:val="28"/>
          <w:szCs w:val="28"/>
          <w:lang w:bidi="ar-DZ"/>
        </w:rPr>
      </w:pPr>
      <w:r w:rsidRPr="00357DE9">
        <w:rPr>
          <w:rFonts w:ascii="Simplified Arabic" w:hAnsi="Simplified Arabic" w:cs="Simplified Arabic"/>
          <w:sz w:val="28"/>
          <w:szCs w:val="28"/>
          <w:rtl/>
          <w:lang w:bidi="ar-DZ"/>
        </w:rPr>
        <w:t xml:space="preserve">عناصر الميزانية </w:t>
      </w:r>
    </w:p>
    <w:p w14:paraId="0BD5D0AA" w14:textId="09BEB150" w:rsidR="00EF4823" w:rsidRPr="00A47013" w:rsidRDefault="00EF4823" w:rsidP="00EF4823">
      <w:pPr>
        <w:pStyle w:val="Paragraphedeliste"/>
        <w:numPr>
          <w:ilvl w:val="0"/>
          <w:numId w:val="6"/>
        </w:numPr>
        <w:bidi/>
        <w:spacing w:after="0"/>
        <w:ind w:left="565"/>
        <w:jc w:val="both"/>
        <w:rPr>
          <w:rFonts w:ascii="Simplified Arabic" w:hAnsi="Simplified Arabic" w:cs="Simplified Arabic"/>
          <w:b/>
          <w:bCs/>
          <w:sz w:val="28"/>
          <w:szCs w:val="28"/>
          <w:rtl/>
          <w:lang w:bidi="ar-DZ"/>
        </w:rPr>
      </w:pPr>
      <w:proofErr w:type="gramStart"/>
      <w:r w:rsidRPr="00357DE9">
        <w:rPr>
          <w:rFonts w:ascii="Simplified Arabic" w:hAnsi="Simplified Arabic" w:cs="Simplified Arabic"/>
          <w:sz w:val="28"/>
          <w:szCs w:val="28"/>
          <w:rtl/>
          <w:lang w:bidi="ar-DZ"/>
        </w:rPr>
        <w:lastRenderedPageBreak/>
        <w:t xml:space="preserve">الأصول </w:t>
      </w:r>
      <w:r w:rsidRPr="00A47013">
        <w:rPr>
          <w:rFonts w:ascii="Simplified Arabic" w:hAnsi="Simplified Arabic" w:cs="Simplified Arabic"/>
          <w:b/>
          <w:bCs/>
          <w:sz w:val="28"/>
          <w:szCs w:val="28"/>
          <w:rtl/>
          <w:lang w:bidi="ar-DZ"/>
        </w:rPr>
        <w:t>:</w:t>
      </w:r>
      <w:proofErr w:type="gramEnd"/>
      <w:r w:rsidRPr="00A47013">
        <w:rPr>
          <w:rFonts w:ascii="Simplified Arabic" w:hAnsi="Simplified Arabic" w:cs="Simplified Arabic"/>
          <w:b/>
          <w:bCs/>
          <w:sz w:val="28"/>
          <w:szCs w:val="28"/>
          <w:rtl/>
          <w:lang w:bidi="ar-DZ"/>
        </w:rPr>
        <w:t xml:space="preserve"> </w:t>
      </w:r>
      <w:r w:rsidRPr="00A47013">
        <w:rPr>
          <w:rFonts w:ascii="Simplified Arabic" w:hAnsi="Simplified Arabic" w:cs="Simplified Arabic"/>
          <w:sz w:val="28"/>
          <w:szCs w:val="28"/>
          <w:rtl/>
          <w:lang w:bidi="ar-DZ"/>
        </w:rPr>
        <w:t xml:space="preserve">تتكون الأصول من الموارد التي تسيرها المؤسسة بفعل أحداث </w:t>
      </w:r>
      <w:proofErr w:type="spellStart"/>
      <w:r w:rsidRPr="00A47013">
        <w:rPr>
          <w:rFonts w:ascii="Simplified Arabic" w:hAnsi="Simplified Arabic" w:cs="Simplified Arabic"/>
          <w:sz w:val="28"/>
          <w:szCs w:val="28"/>
          <w:rtl/>
          <w:lang w:bidi="ar-DZ"/>
        </w:rPr>
        <w:t>ماضية،والموجهة</w:t>
      </w:r>
      <w:proofErr w:type="spellEnd"/>
      <w:r w:rsidRPr="00A47013">
        <w:rPr>
          <w:rFonts w:ascii="Simplified Arabic" w:hAnsi="Simplified Arabic" w:cs="Simplified Arabic"/>
          <w:sz w:val="28"/>
          <w:szCs w:val="28"/>
          <w:rtl/>
          <w:lang w:bidi="ar-DZ"/>
        </w:rPr>
        <w:t xml:space="preserve"> لأن توفر لها منافع اقتصادية مستقبلية، وتشكل عناصر الأصول الموجهة لخدمة نشاط المؤسسة بصورة دائمة أصولا غير </w:t>
      </w:r>
      <w:proofErr w:type="spellStart"/>
      <w:r w:rsidRPr="00A47013">
        <w:rPr>
          <w:rFonts w:ascii="Simplified Arabic" w:hAnsi="Simplified Arabic" w:cs="Simplified Arabic"/>
          <w:sz w:val="28"/>
          <w:szCs w:val="28"/>
          <w:rtl/>
          <w:lang w:bidi="ar-DZ"/>
        </w:rPr>
        <w:t>جارية،أما</w:t>
      </w:r>
      <w:proofErr w:type="spellEnd"/>
      <w:r w:rsidRPr="00A47013">
        <w:rPr>
          <w:rFonts w:ascii="Simplified Arabic" w:hAnsi="Simplified Arabic" w:cs="Simplified Arabic"/>
          <w:sz w:val="28"/>
          <w:szCs w:val="28"/>
          <w:rtl/>
          <w:lang w:bidi="ar-DZ"/>
        </w:rPr>
        <w:t xml:space="preserve"> الأصول التي ليست لها هذه الصفة بسبب وجهتها فإنها تشكل أصولا جارية .</w:t>
      </w:r>
    </w:p>
    <w:p w14:paraId="24B2C1F5" w14:textId="76012AAD" w:rsidR="00EF4823" w:rsidRPr="00A47013" w:rsidRDefault="00EF4823" w:rsidP="00EF4823">
      <w:pPr>
        <w:pStyle w:val="Paragraphedeliste"/>
        <w:numPr>
          <w:ilvl w:val="0"/>
          <w:numId w:val="10"/>
        </w:numPr>
        <w:bidi/>
        <w:spacing w:after="0"/>
        <w:ind w:left="565"/>
        <w:jc w:val="both"/>
        <w:rPr>
          <w:rFonts w:ascii="Simplified Arabic" w:hAnsi="Simplified Arabic" w:cs="Simplified Arabic"/>
          <w:b/>
          <w:bCs/>
          <w:sz w:val="28"/>
          <w:szCs w:val="28"/>
          <w:rtl/>
          <w:lang w:bidi="ar-DZ"/>
        </w:rPr>
      </w:pPr>
      <w:proofErr w:type="gramStart"/>
      <w:r w:rsidRPr="00357DE9">
        <w:rPr>
          <w:rFonts w:ascii="Simplified Arabic" w:hAnsi="Simplified Arabic" w:cs="Simplified Arabic"/>
          <w:sz w:val="28"/>
          <w:szCs w:val="28"/>
          <w:rtl/>
          <w:lang w:bidi="ar-DZ"/>
        </w:rPr>
        <w:t>الخصوم:</w:t>
      </w:r>
      <w:r w:rsidRPr="00A47013">
        <w:rPr>
          <w:rFonts w:ascii="Simplified Arabic" w:hAnsi="Simplified Arabic" w:cs="Simplified Arabic"/>
          <w:b/>
          <w:bCs/>
          <w:sz w:val="28"/>
          <w:szCs w:val="28"/>
          <w:rtl/>
          <w:lang w:bidi="ar-DZ"/>
        </w:rPr>
        <w:t xml:space="preserve"> </w:t>
      </w:r>
      <w:r w:rsidRPr="00A47013">
        <w:rPr>
          <w:rFonts w:ascii="Simplified Arabic" w:hAnsi="Simplified Arabic" w:cs="Simplified Arabic"/>
          <w:sz w:val="28"/>
          <w:szCs w:val="28"/>
          <w:rtl/>
          <w:lang w:bidi="ar-DZ"/>
        </w:rPr>
        <w:t xml:space="preserve"> تمثل</w:t>
      </w:r>
      <w:proofErr w:type="gramEnd"/>
      <w:r w:rsidRPr="00A47013">
        <w:rPr>
          <w:rFonts w:ascii="Simplified Arabic" w:hAnsi="Simplified Arabic" w:cs="Simplified Arabic"/>
          <w:sz w:val="28"/>
          <w:szCs w:val="28"/>
          <w:rtl/>
          <w:lang w:bidi="ar-DZ"/>
        </w:rPr>
        <w:t xml:space="preserve"> الخصوم الالتزامات الحالية للشركة والتي نتجت جراء أحداث اقتصادية ماضية، يتم الإيفاء بها من خلال النقصان في مواردها.</w:t>
      </w:r>
      <w:r>
        <w:rPr>
          <w:rFonts w:ascii="Simplified Arabic" w:hAnsi="Simplified Arabic" w:cs="Simplified Arabic" w:hint="cs"/>
          <w:sz w:val="28"/>
          <w:szCs w:val="28"/>
          <w:rtl/>
          <w:lang w:bidi="ar-DZ"/>
        </w:rPr>
        <w:t xml:space="preserve"> </w:t>
      </w:r>
      <w:r w:rsidRPr="00A47013">
        <w:rPr>
          <w:rFonts w:ascii="Simplified Arabic" w:hAnsi="Simplified Arabic" w:cs="Simplified Arabic"/>
          <w:sz w:val="28"/>
          <w:szCs w:val="28"/>
          <w:rtl/>
          <w:lang w:bidi="ar-DZ"/>
        </w:rPr>
        <w:t>وتتضمن:</w:t>
      </w:r>
    </w:p>
    <w:p w14:paraId="78C79051" w14:textId="25CF1D72" w:rsidR="00EF4823" w:rsidRPr="00A47013" w:rsidRDefault="00EF4823" w:rsidP="00EF4823">
      <w:pPr>
        <w:pStyle w:val="Paragraphedeliste"/>
        <w:tabs>
          <w:tab w:val="right" w:pos="141"/>
        </w:tabs>
        <w:bidi/>
        <w:spacing w:after="0"/>
        <w:ind w:left="423"/>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  - أموال دائمة: موارد أجنبية كالديون متوسطة وطويلة الأجل.</w:t>
      </w:r>
    </w:p>
    <w:p w14:paraId="1AF87C19" w14:textId="15A955CA" w:rsidR="00EF4823" w:rsidRPr="00A47013" w:rsidRDefault="00EF4823" w:rsidP="00EF4823">
      <w:pPr>
        <w:pStyle w:val="Paragraphedeliste"/>
        <w:bidi/>
        <w:spacing w:after="0"/>
        <w:ind w:left="565"/>
        <w:jc w:val="both"/>
        <w:rPr>
          <w:rFonts w:ascii="Simplified Arabic" w:hAnsi="Simplified Arabic" w:cs="Simplified Arabic"/>
          <w:sz w:val="28"/>
          <w:szCs w:val="28"/>
          <w:rtl/>
          <w:lang w:bidi="ar-DZ"/>
        </w:rPr>
      </w:pPr>
      <w:r w:rsidRPr="00A47013">
        <w:rPr>
          <w:rFonts w:ascii="Simplified Arabic" w:hAnsi="Simplified Arabic" w:cs="Simplified Arabic"/>
          <w:b/>
          <w:bCs/>
          <w:sz w:val="28"/>
          <w:szCs w:val="28"/>
          <w:rtl/>
          <w:lang w:bidi="ar-DZ"/>
        </w:rPr>
        <w:t xml:space="preserve">  </w:t>
      </w:r>
      <w:r w:rsidRPr="00A47013">
        <w:rPr>
          <w:rFonts w:ascii="Simplified Arabic" w:hAnsi="Simplified Arabic" w:cs="Simplified Arabic"/>
          <w:sz w:val="28"/>
          <w:szCs w:val="28"/>
          <w:rtl/>
          <w:lang w:bidi="ar-DZ"/>
        </w:rPr>
        <w:t>- ديون قصيرة الأجل:</w:t>
      </w:r>
      <w:r w:rsidRPr="00A47013">
        <w:rPr>
          <w:rFonts w:ascii="Simplified Arabic" w:hAnsi="Simplified Arabic" w:cs="Simplified Arabic"/>
          <w:b/>
          <w:bCs/>
          <w:sz w:val="28"/>
          <w:szCs w:val="28"/>
          <w:rtl/>
          <w:lang w:bidi="ar-DZ"/>
        </w:rPr>
        <w:t xml:space="preserve"> </w:t>
      </w:r>
      <w:r w:rsidRPr="00A47013">
        <w:rPr>
          <w:rFonts w:ascii="Simplified Arabic" w:hAnsi="Simplified Arabic" w:cs="Simplified Arabic"/>
          <w:sz w:val="28"/>
          <w:szCs w:val="28"/>
          <w:rtl/>
          <w:lang w:bidi="ar-DZ"/>
        </w:rPr>
        <w:t>كديون الموردين وديون الاستغلال وغيرها.</w:t>
      </w:r>
    </w:p>
    <w:p w14:paraId="49BD8A8C" w14:textId="77777777" w:rsidR="00EF4823" w:rsidRPr="00A47013" w:rsidRDefault="00EF4823" w:rsidP="00EF4823">
      <w:pPr>
        <w:bidi/>
        <w:spacing w:after="0"/>
        <w:jc w:val="both"/>
        <w:rPr>
          <w:rFonts w:ascii="Simplified Arabic" w:hAnsi="Simplified Arabic" w:cs="Simplified Arabic"/>
          <w:b/>
          <w:bCs/>
          <w:sz w:val="28"/>
          <w:szCs w:val="28"/>
          <w:rtl/>
          <w:lang w:bidi="ar-DZ"/>
        </w:rPr>
      </w:pPr>
      <w:r w:rsidRPr="00A47013">
        <w:rPr>
          <w:rFonts w:ascii="Simplified Arabic" w:hAnsi="Simplified Arabic" w:cs="Simplified Arabic"/>
          <w:b/>
          <w:bCs/>
          <w:sz w:val="28"/>
          <w:szCs w:val="28"/>
          <w:rtl/>
          <w:lang w:bidi="ar-DZ"/>
        </w:rPr>
        <w:t xml:space="preserve">  ثانيا: جدول حسابات النتائج</w:t>
      </w:r>
    </w:p>
    <w:p w14:paraId="45BFACA8" w14:textId="3642FE32" w:rsidR="00EF4823" w:rsidRPr="000F5E1B" w:rsidRDefault="00EF4823" w:rsidP="000F5E1B">
      <w:pPr>
        <w:pStyle w:val="Paragraphedeliste"/>
        <w:numPr>
          <w:ilvl w:val="0"/>
          <w:numId w:val="5"/>
        </w:numPr>
        <w:bidi/>
        <w:spacing w:after="0"/>
        <w:jc w:val="both"/>
        <w:rPr>
          <w:rFonts w:ascii="Simplified Arabic" w:hAnsi="Simplified Arabic" w:cs="Simplified Arabic"/>
          <w:sz w:val="28"/>
          <w:szCs w:val="28"/>
          <w:rtl/>
          <w:lang w:bidi="ar-DZ"/>
        </w:rPr>
      </w:pPr>
      <w:r w:rsidRPr="00357DE9">
        <w:rPr>
          <w:rFonts w:ascii="Simplified Arabic" w:hAnsi="Simplified Arabic" w:cs="Simplified Arabic"/>
          <w:sz w:val="28"/>
          <w:szCs w:val="28"/>
          <w:rtl/>
          <w:lang w:bidi="ar-DZ"/>
        </w:rPr>
        <w:t xml:space="preserve">تعريف جدول حسابات </w:t>
      </w:r>
      <w:bookmarkStart w:id="0" w:name="_GoBack"/>
      <w:bookmarkEnd w:id="0"/>
      <w:r w:rsidRPr="00357DE9">
        <w:rPr>
          <w:rFonts w:ascii="Simplified Arabic" w:hAnsi="Simplified Arabic" w:cs="Simplified Arabic"/>
          <w:sz w:val="28"/>
          <w:szCs w:val="28"/>
          <w:rtl/>
          <w:lang w:bidi="ar-DZ"/>
        </w:rPr>
        <w:t xml:space="preserve">النتائج </w:t>
      </w:r>
    </w:p>
    <w:p w14:paraId="37DAC57C" w14:textId="068F75D6" w:rsidR="00EF4823" w:rsidRPr="00A47013" w:rsidRDefault="00EF4823" w:rsidP="000F5E1B">
      <w:pPr>
        <w:bidi/>
        <w:spacing w:after="0"/>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     ولقد عرف النظام المحاسبي المالي حساب النتائج بأنه: "بيان ملخص للأعباء والمنتوجات المنجزة من الكيان خلال السنة المالية، ولا يأخذ في الحساب تاريخ التحصيل أو تاريخ </w:t>
      </w:r>
      <w:proofErr w:type="spellStart"/>
      <w:proofErr w:type="gramStart"/>
      <w:r w:rsidRPr="00A47013">
        <w:rPr>
          <w:rFonts w:ascii="Simplified Arabic" w:hAnsi="Simplified Arabic" w:cs="Simplified Arabic"/>
          <w:sz w:val="28"/>
          <w:szCs w:val="28"/>
          <w:rtl/>
          <w:lang w:bidi="ar-DZ"/>
        </w:rPr>
        <w:t>السحب،ويبرز</w:t>
      </w:r>
      <w:proofErr w:type="spellEnd"/>
      <w:proofErr w:type="gramEnd"/>
      <w:r w:rsidRPr="00A47013">
        <w:rPr>
          <w:rFonts w:ascii="Simplified Arabic" w:hAnsi="Simplified Arabic" w:cs="Simplified Arabic"/>
          <w:sz w:val="28"/>
          <w:szCs w:val="28"/>
          <w:rtl/>
          <w:lang w:bidi="ar-DZ"/>
        </w:rPr>
        <w:t xml:space="preserve"> بالتمييز النتيجة الصافية للسنة المالية (الربح أو الخسارة).</w:t>
      </w:r>
    </w:p>
    <w:p w14:paraId="6DF82EFE" w14:textId="45A8DA67" w:rsidR="00EF4823" w:rsidRPr="00FF3D56" w:rsidRDefault="00EF4823" w:rsidP="00FF3D56">
      <w:pPr>
        <w:pStyle w:val="Paragraphedeliste"/>
        <w:bidi/>
        <w:spacing w:after="0"/>
        <w:ind w:left="0"/>
        <w:jc w:val="both"/>
        <w:rPr>
          <w:rFonts w:ascii="Simplified Arabic" w:hAnsi="Simplified Arabic" w:cs="Simplified Arabic"/>
          <w:b/>
          <w:bCs/>
          <w:sz w:val="28"/>
          <w:szCs w:val="28"/>
          <w:rtl/>
          <w:lang w:bidi="ar-DZ"/>
        </w:rPr>
      </w:pPr>
      <w:proofErr w:type="gramStart"/>
      <w:r w:rsidRPr="00A47013">
        <w:rPr>
          <w:rFonts w:ascii="Simplified Arabic" w:hAnsi="Simplified Arabic" w:cs="Simplified Arabic"/>
          <w:b/>
          <w:bCs/>
          <w:sz w:val="28"/>
          <w:szCs w:val="28"/>
          <w:rtl/>
          <w:lang w:bidi="ar-DZ"/>
        </w:rPr>
        <w:t>ثالثا:  قائمة</w:t>
      </w:r>
      <w:proofErr w:type="gramEnd"/>
      <w:r w:rsidRPr="00A47013">
        <w:rPr>
          <w:rFonts w:ascii="Simplified Arabic" w:hAnsi="Simplified Arabic" w:cs="Simplified Arabic"/>
          <w:b/>
          <w:bCs/>
          <w:sz w:val="28"/>
          <w:szCs w:val="28"/>
          <w:rtl/>
          <w:lang w:bidi="ar-DZ"/>
        </w:rPr>
        <w:t xml:space="preserve"> التدفقات النقدية </w:t>
      </w:r>
    </w:p>
    <w:p w14:paraId="73121CC2" w14:textId="56AEA506" w:rsidR="00EF4823" w:rsidRPr="00A47013" w:rsidRDefault="00EF4823" w:rsidP="00EF4823">
      <w:pPr>
        <w:pStyle w:val="Paragraphedeliste"/>
        <w:tabs>
          <w:tab w:val="left" w:pos="281"/>
        </w:tabs>
        <w:bidi/>
        <w:spacing w:after="0"/>
        <w:ind w:left="-2"/>
        <w:jc w:val="both"/>
        <w:rPr>
          <w:rFonts w:ascii="Simplified Arabic" w:hAnsi="Simplified Arabic" w:cs="Simplified Arabic"/>
          <w:sz w:val="28"/>
          <w:szCs w:val="28"/>
          <w:rtl/>
          <w:lang w:val="en-US" w:bidi="ar-DZ"/>
        </w:rPr>
      </w:pPr>
      <w:r w:rsidRPr="00A47013">
        <w:rPr>
          <w:rFonts w:ascii="Simplified Arabic" w:hAnsi="Simplified Arabic" w:cs="Simplified Arabic"/>
          <w:sz w:val="28"/>
          <w:szCs w:val="28"/>
          <w:rtl/>
          <w:lang w:bidi="ar-DZ"/>
        </w:rPr>
        <w:t xml:space="preserve">   نص المعيار المحاسبي الدولي رقم 07 </w:t>
      </w:r>
      <w:r w:rsidRPr="00A47013">
        <w:rPr>
          <w:rFonts w:ascii="Simplified Arabic" w:hAnsi="Simplified Arabic" w:cs="Simplified Arabic"/>
          <w:sz w:val="28"/>
          <w:szCs w:val="28"/>
          <w:lang w:bidi="ar-DZ"/>
        </w:rPr>
        <w:t>(IAS07)</w:t>
      </w:r>
      <w:r w:rsidRPr="00A47013">
        <w:rPr>
          <w:rFonts w:ascii="Simplified Arabic" w:hAnsi="Simplified Arabic" w:cs="Simplified Arabic"/>
          <w:sz w:val="28"/>
          <w:szCs w:val="28"/>
          <w:rtl/>
          <w:lang w:val="en-US" w:bidi="ar-DZ"/>
        </w:rPr>
        <w:t xml:space="preserve"> على عرض قائمة التدفقات النقدية وذلك بتبيان كافة أوجه التدفق النقدي وفق الأنشطة التشغيلية </w:t>
      </w:r>
      <w:proofErr w:type="gramStart"/>
      <w:r w:rsidRPr="00A47013">
        <w:rPr>
          <w:rFonts w:ascii="Simplified Arabic" w:hAnsi="Simplified Arabic" w:cs="Simplified Arabic"/>
          <w:sz w:val="28"/>
          <w:szCs w:val="28"/>
          <w:rtl/>
          <w:lang w:val="en-US" w:bidi="ar-DZ"/>
        </w:rPr>
        <w:t>و التمويلية</w:t>
      </w:r>
      <w:proofErr w:type="gramEnd"/>
      <w:r w:rsidRPr="00A47013">
        <w:rPr>
          <w:rFonts w:ascii="Simplified Arabic" w:hAnsi="Simplified Arabic" w:cs="Simplified Arabic"/>
          <w:sz w:val="28"/>
          <w:szCs w:val="28"/>
          <w:rtl/>
          <w:lang w:val="en-US" w:bidi="ar-DZ"/>
        </w:rPr>
        <w:t xml:space="preserve"> والاستثمارية، وقد عرف المعيار المذكور بأن التدفقات النقدية تعبر عن التغير في النقد و النقدية المعادلة</w:t>
      </w:r>
      <w:r w:rsidRPr="00A47013">
        <w:rPr>
          <w:rStyle w:val="Appelnotedebasdep"/>
          <w:rFonts w:ascii="Simplified Arabic" w:hAnsi="Simplified Arabic" w:cs="Simplified Arabic"/>
          <w:sz w:val="28"/>
          <w:szCs w:val="28"/>
          <w:lang w:val="en-US" w:bidi="ar-DZ"/>
        </w:rPr>
        <w:footnoteReference w:customMarkFollows="1" w:id="1"/>
        <w:sym w:font="Symbol" w:char="F02A"/>
      </w:r>
      <w:r w:rsidRPr="00A47013">
        <w:rPr>
          <w:rFonts w:ascii="Simplified Arabic" w:hAnsi="Simplified Arabic" w:cs="Simplified Arabic"/>
          <w:sz w:val="28"/>
          <w:szCs w:val="28"/>
          <w:rtl/>
          <w:lang w:val="en-US" w:bidi="ar-DZ"/>
        </w:rPr>
        <w:t>.</w:t>
      </w:r>
    </w:p>
    <w:p w14:paraId="262F484A" w14:textId="77777777" w:rsidR="00EF4823" w:rsidRPr="00357DE9" w:rsidRDefault="00EF4823" w:rsidP="00EF4823">
      <w:pPr>
        <w:bidi/>
        <w:spacing w:after="0"/>
        <w:jc w:val="both"/>
        <w:rPr>
          <w:rFonts w:ascii="Simplified Arabic" w:hAnsi="Simplified Arabic" w:cs="Simplified Arabic"/>
          <w:b/>
          <w:bCs/>
          <w:sz w:val="28"/>
          <w:szCs w:val="28"/>
          <w:rtl/>
          <w:lang w:bidi="ar-DZ"/>
        </w:rPr>
      </w:pPr>
      <w:r w:rsidRPr="00357DE9">
        <w:rPr>
          <w:rFonts w:ascii="Simplified Arabic" w:hAnsi="Simplified Arabic" w:cs="Simplified Arabic"/>
          <w:b/>
          <w:bCs/>
          <w:sz w:val="28"/>
          <w:szCs w:val="28"/>
          <w:rtl/>
          <w:lang w:bidi="ar-DZ"/>
        </w:rPr>
        <w:t xml:space="preserve">رابعا: قائمة تغيرات الأموال الخاصة </w:t>
      </w:r>
    </w:p>
    <w:p w14:paraId="7EF50636" w14:textId="4FE24B9C" w:rsidR="00EF4823" w:rsidRPr="00A47013" w:rsidRDefault="00EF4823" w:rsidP="00EF4823">
      <w:pPr>
        <w:bidi/>
        <w:spacing w:after="0"/>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t xml:space="preserve">عرف النظام المحاسبي المالي قائمة تغيرات الأموال الخاصة </w:t>
      </w:r>
      <w:proofErr w:type="gramStart"/>
      <w:r w:rsidRPr="00A47013">
        <w:rPr>
          <w:rFonts w:ascii="Simplified Arabic" w:hAnsi="Simplified Arabic" w:cs="Simplified Arabic"/>
          <w:sz w:val="28"/>
          <w:szCs w:val="28"/>
          <w:rtl/>
          <w:lang w:bidi="ar-DZ"/>
        </w:rPr>
        <w:t>بأنها :</w:t>
      </w:r>
      <w:proofErr w:type="gramEnd"/>
      <w:r w:rsidRPr="00A47013">
        <w:rPr>
          <w:rFonts w:ascii="Simplified Arabic" w:hAnsi="Simplified Arabic" w:cs="Simplified Arabic"/>
          <w:sz w:val="28"/>
          <w:szCs w:val="28"/>
          <w:rtl/>
          <w:lang w:bidi="ar-DZ"/>
        </w:rPr>
        <w:t xml:space="preserve"> "تشكل تحليلا للحركات التي أثرت في كل فصل من الفصول التي تتشكل منها رؤوس الأموال الخاصة للمؤسسة خلال السنة المالية ".</w:t>
      </w:r>
    </w:p>
    <w:p w14:paraId="18FC42D3" w14:textId="77777777" w:rsidR="00EF4823" w:rsidRPr="00357DE9" w:rsidRDefault="00EF4823" w:rsidP="00EF4823">
      <w:pPr>
        <w:pStyle w:val="Paragraphedeliste"/>
        <w:bidi/>
        <w:spacing w:after="0"/>
        <w:ind w:left="283"/>
        <w:jc w:val="both"/>
        <w:rPr>
          <w:rFonts w:ascii="Simplified Arabic" w:hAnsi="Simplified Arabic" w:cs="Simplified Arabic"/>
          <w:b/>
          <w:bCs/>
          <w:sz w:val="28"/>
          <w:szCs w:val="28"/>
          <w:lang w:bidi="ar-DZ"/>
        </w:rPr>
      </w:pPr>
      <w:r w:rsidRPr="00357DE9">
        <w:rPr>
          <w:rFonts w:ascii="Simplified Arabic" w:hAnsi="Simplified Arabic" w:cs="Simplified Arabic"/>
          <w:b/>
          <w:bCs/>
          <w:sz w:val="28"/>
          <w:szCs w:val="28"/>
          <w:rtl/>
          <w:lang w:bidi="ar-DZ"/>
        </w:rPr>
        <w:t>خامسا: ملحق القوائم المالية</w:t>
      </w:r>
    </w:p>
    <w:p w14:paraId="71C2524D" w14:textId="77777777" w:rsidR="005F68EC" w:rsidRDefault="00EF4823" w:rsidP="005F68EC">
      <w:pPr>
        <w:bidi/>
        <w:spacing w:after="0"/>
        <w:ind w:firstLine="348"/>
        <w:jc w:val="both"/>
        <w:rPr>
          <w:rFonts w:ascii="Simplified Arabic" w:hAnsi="Simplified Arabic" w:cs="Simplified Arabic"/>
          <w:sz w:val="28"/>
          <w:szCs w:val="28"/>
          <w:rtl/>
          <w:lang w:bidi="ar-DZ"/>
        </w:rPr>
      </w:pPr>
      <w:r w:rsidRPr="00A47013">
        <w:rPr>
          <w:rFonts w:ascii="Simplified Arabic" w:hAnsi="Simplified Arabic" w:cs="Simplified Arabic"/>
          <w:sz w:val="28"/>
          <w:szCs w:val="28"/>
          <w:rtl/>
          <w:lang w:bidi="ar-DZ"/>
        </w:rPr>
        <w:lastRenderedPageBreak/>
        <w:t xml:space="preserve">ملحق القوائم المالية يحتوي على معلومات أساسية ذات دلالة، فهو يسمح بفهم معايير التقييم المستعملة من اجل إعداد القوائم المالية، </w:t>
      </w:r>
      <w:proofErr w:type="gramStart"/>
      <w:r w:rsidRPr="00A47013">
        <w:rPr>
          <w:rFonts w:ascii="Simplified Arabic" w:hAnsi="Simplified Arabic" w:cs="Simplified Arabic"/>
          <w:sz w:val="28"/>
          <w:szCs w:val="28"/>
          <w:rtl/>
          <w:lang w:bidi="ar-DZ"/>
        </w:rPr>
        <w:t>و كذا</w:t>
      </w:r>
      <w:proofErr w:type="gramEnd"/>
      <w:r w:rsidRPr="00A47013">
        <w:rPr>
          <w:rFonts w:ascii="Simplified Arabic" w:hAnsi="Simplified Arabic" w:cs="Simplified Arabic"/>
          <w:sz w:val="28"/>
          <w:szCs w:val="28"/>
          <w:rtl/>
          <w:lang w:bidi="ar-DZ"/>
        </w:rPr>
        <w:t xml:space="preserve"> الطرائق المحاسبية النوعية المستعملة الضرورية لفهم و قراءة القوائم المالية ويقدم بطريقة منظمة تمكن من إجراء المقارنة مع الفترات السابقة</w:t>
      </w:r>
      <w:r w:rsidR="005F68EC">
        <w:rPr>
          <w:rFonts w:ascii="Simplified Arabic" w:hAnsi="Simplified Arabic" w:cs="Simplified Arabic" w:hint="cs"/>
          <w:sz w:val="28"/>
          <w:szCs w:val="28"/>
          <w:rtl/>
          <w:lang w:bidi="ar-DZ"/>
        </w:rPr>
        <w:t>.</w:t>
      </w:r>
    </w:p>
    <w:p w14:paraId="4080ED6B" w14:textId="77777777" w:rsidR="00FB3C93" w:rsidRPr="00FB3C93" w:rsidRDefault="00FB3C93" w:rsidP="00FB3C93">
      <w:pPr>
        <w:bidi/>
        <w:rPr>
          <w:lang w:bidi="ar-DZ"/>
        </w:rPr>
      </w:pPr>
    </w:p>
    <w:sectPr w:rsidR="00FB3C93" w:rsidRPr="00FB3C9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438B" w14:textId="77777777" w:rsidR="00666F5E" w:rsidRDefault="00666F5E" w:rsidP="007673F2">
      <w:pPr>
        <w:spacing w:after="0" w:line="240" w:lineRule="auto"/>
      </w:pPr>
      <w:r>
        <w:separator/>
      </w:r>
    </w:p>
  </w:endnote>
  <w:endnote w:type="continuationSeparator" w:id="0">
    <w:p w14:paraId="5B7131E2" w14:textId="77777777" w:rsidR="00666F5E" w:rsidRDefault="00666F5E" w:rsidP="0076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921150"/>
      <w:docPartObj>
        <w:docPartGallery w:val="Page Numbers (Bottom of Page)"/>
        <w:docPartUnique/>
      </w:docPartObj>
    </w:sdtPr>
    <w:sdtEndPr/>
    <w:sdtContent>
      <w:p w14:paraId="4FC80E40" w14:textId="0F12F2C8" w:rsidR="00961696" w:rsidRDefault="00961696">
        <w:pPr>
          <w:pStyle w:val="Pieddepage"/>
          <w:jc w:val="center"/>
        </w:pPr>
        <w:r>
          <w:fldChar w:fldCharType="begin"/>
        </w:r>
        <w:r>
          <w:instrText>PAGE   \* MERGEFORMAT</w:instrText>
        </w:r>
        <w:r>
          <w:fldChar w:fldCharType="separate"/>
        </w:r>
        <w:r>
          <w:rPr>
            <w:lang w:val="fr-FR"/>
          </w:rPr>
          <w:t>2</w:t>
        </w:r>
        <w:r>
          <w:fldChar w:fldCharType="end"/>
        </w:r>
      </w:p>
    </w:sdtContent>
  </w:sdt>
  <w:p w14:paraId="5E3B29A3" w14:textId="77777777" w:rsidR="00961696" w:rsidRDefault="009616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0B444" w14:textId="77777777" w:rsidR="00666F5E" w:rsidRDefault="00666F5E" w:rsidP="007673F2">
      <w:pPr>
        <w:spacing w:after="0" w:line="240" w:lineRule="auto"/>
      </w:pPr>
      <w:r>
        <w:separator/>
      </w:r>
    </w:p>
  </w:footnote>
  <w:footnote w:type="continuationSeparator" w:id="0">
    <w:p w14:paraId="4158C061" w14:textId="77777777" w:rsidR="00666F5E" w:rsidRDefault="00666F5E" w:rsidP="007673F2">
      <w:pPr>
        <w:spacing w:after="0" w:line="240" w:lineRule="auto"/>
      </w:pPr>
      <w:r>
        <w:continuationSeparator/>
      </w:r>
    </w:p>
  </w:footnote>
  <w:footnote w:id="1">
    <w:p w14:paraId="491A2590" w14:textId="77777777" w:rsidR="00EF4823" w:rsidRPr="003C3716" w:rsidRDefault="00EF4823" w:rsidP="00EF4823">
      <w:pPr>
        <w:bidi/>
        <w:spacing w:after="0"/>
        <w:jc w:val="both"/>
        <w:rPr>
          <w:rFonts w:ascii="Simplified Arabic" w:hAnsi="Simplified Arabic" w:cs="Simplified Arabic"/>
          <w:sz w:val="20"/>
          <w:szCs w:val="20"/>
          <w:rtl/>
        </w:rPr>
      </w:pPr>
      <w:r w:rsidRPr="003C3716">
        <w:rPr>
          <w:rFonts w:ascii="Simplified Arabic" w:hAnsi="Simplified Arabic" w:cs="Simplified Arabic"/>
          <w:sz w:val="20"/>
          <w:szCs w:val="20"/>
        </w:rPr>
        <w:t xml:space="preserve"> </w:t>
      </w:r>
      <w:r w:rsidRPr="003C3716">
        <w:rPr>
          <w:rStyle w:val="Appelnotedebasdep"/>
          <w:rFonts w:ascii="Simplified Arabic" w:hAnsi="Simplified Arabic" w:cs="Simplified Arabic"/>
          <w:sz w:val="20"/>
          <w:szCs w:val="20"/>
        </w:rPr>
        <w:sym w:font="Symbol" w:char="F02A"/>
      </w:r>
      <w:r w:rsidRPr="003C3716">
        <w:rPr>
          <w:rFonts w:ascii="Simplified Arabic" w:hAnsi="Simplified Arabic" w:cs="Simplified Arabic"/>
          <w:sz w:val="20"/>
          <w:szCs w:val="20"/>
          <w:rtl/>
        </w:rPr>
        <w:t xml:space="preserve">عند دراسة الخزينة ،يجب التفريق بين مصطلحي </w:t>
      </w:r>
      <w:r w:rsidRPr="003C3716">
        <w:rPr>
          <w:rFonts w:ascii="Simplified Arabic" w:hAnsi="Simplified Arabic" w:cs="Simplified Arabic"/>
          <w:b/>
          <w:bCs/>
          <w:sz w:val="20"/>
          <w:szCs w:val="20"/>
          <w:rtl/>
        </w:rPr>
        <w:t>النقدية و النقدية المعادلة</w:t>
      </w:r>
      <w:r w:rsidRPr="003C3716">
        <w:rPr>
          <w:rFonts w:ascii="Simplified Arabic" w:hAnsi="Simplified Arabic" w:cs="Simplified Arabic"/>
          <w:sz w:val="20"/>
          <w:szCs w:val="20"/>
          <w:rtl/>
        </w:rPr>
        <w:t>،</w:t>
      </w:r>
      <w:r w:rsidRPr="003C3716">
        <w:rPr>
          <w:rFonts w:ascii="Simplified Arabic" w:hAnsi="Simplified Arabic" w:cs="Simplified Arabic"/>
          <w:sz w:val="20"/>
          <w:szCs w:val="20"/>
        </w:rPr>
        <w:t xml:space="preserve"> </w:t>
      </w:r>
      <w:r w:rsidRPr="003C3716">
        <w:rPr>
          <w:rFonts w:ascii="Simplified Arabic" w:hAnsi="Simplified Arabic" w:cs="Simplified Arabic"/>
          <w:sz w:val="20"/>
          <w:szCs w:val="20"/>
          <w:rtl/>
        </w:rPr>
        <w:t>حيث يعني المصطلح الأول تلك النقدية المتاحة في اليد ( الخزينة والصندوق)، بالإضافة للودائع الجارية ( تحت الطلب) في البنوك والشركات المالية ، يعني المصطلح الثاني : تلك الاستثمارات قصيرة الأجل والتي يمكن تحويلها إلى مقدار محدد و معروف من النقدية والتي لا تتعرض لدرجة عالية من المخاطر من حيث التغير في قيمتها.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BE3B0" w14:textId="37C6C7A4" w:rsidR="007673F2" w:rsidRDefault="007673F2" w:rsidP="007673F2">
    <w:pPr>
      <w:pStyle w:val="En-tte"/>
      <w:tabs>
        <w:tab w:val="clear" w:pos="4680"/>
        <w:tab w:val="clear" w:pos="9360"/>
        <w:tab w:val="left" w:pos="7650"/>
      </w:tabs>
      <w:bidi/>
      <w:rPr>
        <w:rtl/>
        <w:lang w:bidi="ar-DZ"/>
      </w:rPr>
    </w:pPr>
    <w:r>
      <w:rPr>
        <w:rFonts w:hint="cs"/>
        <w:rtl/>
        <w:lang w:bidi="ar-DZ"/>
      </w:rPr>
      <w:t xml:space="preserve">كلية العلوم الاقتصادية والتجارية وعلوم التسيير </w:t>
    </w:r>
    <w:r>
      <w:rPr>
        <w:rtl/>
        <w:lang w:bidi="ar-DZ"/>
      </w:rPr>
      <w:tab/>
    </w:r>
    <w:r>
      <w:rPr>
        <w:rFonts w:hint="cs"/>
        <w:rtl/>
        <w:lang w:bidi="ar-DZ"/>
      </w:rPr>
      <w:t xml:space="preserve">د/ </w:t>
    </w:r>
    <w:proofErr w:type="spellStart"/>
    <w:r>
      <w:rPr>
        <w:rFonts w:hint="cs"/>
        <w:rtl/>
        <w:lang w:bidi="ar-DZ"/>
      </w:rPr>
      <w:t>بوصبع</w:t>
    </w:r>
    <w:proofErr w:type="spellEnd"/>
    <w:r>
      <w:rPr>
        <w:rFonts w:hint="cs"/>
        <w:rtl/>
        <w:lang w:bidi="ar-DZ"/>
      </w:rPr>
      <w:t xml:space="preserve"> هناء</w:t>
    </w:r>
  </w:p>
  <w:p w14:paraId="0B504A60" w14:textId="37E0D66E" w:rsidR="007673F2" w:rsidRDefault="007673F2" w:rsidP="007673F2">
    <w:pPr>
      <w:pStyle w:val="En-tte"/>
      <w:tabs>
        <w:tab w:val="clear" w:pos="4680"/>
        <w:tab w:val="clear" w:pos="9360"/>
        <w:tab w:val="left" w:pos="7650"/>
      </w:tabs>
      <w:bidi/>
      <w:rPr>
        <w:rtl/>
        <w:lang w:bidi="ar-DZ"/>
      </w:rPr>
    </w:pPr>
    <w:r>
      <w:rPr>
        <w:rFonts w:hint="cs"/>
        <w:rtl/>
        <w:lang w:bidi="ar-DZ"/>
      </w:rPr>
      <w:t>قسم العلوم المالية                                                                                                مقياس: التسيير المالي المعمق</w:t>
    </w:r>
  </w:p>
  <w:p w14:paraId="1A5CB591" w14:textId="17C836D3" w:rsidR="007673F2" w:rsidRDefault="007673F2" w:rsidP="007673F2">
    <w:pPr>
      <w:pStyle w:val="En-tte"/>
      <w:bidi/>
      <w:rPr>
        <w:lang w:bidi="ar-DZ"/>
      </w:rPr>
    </w:pPr>
    <w:r>
      <w:rPr>
        <w:rFonts w:hint="cs"/>
        <w:rtl/>
        <w:lang w:bidi="ar-DZ"/>
      </w:rPr>
      <w:t>ماستر 1 محاسبة وتدقيق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B0E"/>
    <w:multiLevelType w:val="hybridMultilevel"/>
    <w:tmpl w:val="47F011C0"/>
    <w:lvl w:ilvl="0" w:tplc="17F2101C">
      <w:start w:val="2"/>
      <w:numFmt w:val="bullet"/>
      <w:lvlText w:val=""/>
      <w:lvlJc w:val="left"/>
      <w:pPr>
        <w:ind w:left="360" w:hanging="360"/>
      </w:pPr>
      <w:rPr>
        <w:rFonts w:ascii="Symbol" w:eastAsiaTheme="minorHAnsi" w:hAnsi="Symbol"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AD103E"/>
    <w:multiLevelType w:val="hybridMultilevel"/>
    <w:tmpl w:val="53763A7A"/>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 w15:restartNumberingAfterBreak="0">
    <w:nsid w:val="1F50043A"/>
    <w:multiLevelType w:val="hybridMultilevel"/>
    <w:tmpl w:val="896681FE"/>
    <w:lvl w:ilvl="0" w:tplc="FC82CB56">
      <w:start w:val="2"/>
      <w:numFmt w:val="bullet"/>
      <w:lvlText w:val="-"/>
      <w:lvlJc w:val="left"/>
      <w:pPr>
        <w:ind w:left="643" w:hanging="360"/>
      </w:pPr>
      <w:rPr>
        <w:rFonts w:ascii="Simplified Arabic" w:eastAsiaTheme="minorHAnsi" w:hAnsi="Simplified Arabic" w:cs="Simplified Arabic"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15:restartNumberingAfterBreak="0">
    <w:nsid w:val="32BE59BB"/>
    <w:multiLevelType w:val="hybridMultilevel"/>
    <w:tmpl w:val="6F14DC0E"/>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38640496"/>
    <w:multiLevelType w:val="hybridMultilevel"/>
    <w:tmpl w:val="4ABEC806"/>
    <w:lvl w:ilvl="0" w:tplc="13A4D7B0">
      <w:start w:val="1"/>
      <w:numFmt w:val="bullet"/>
      <w:lvlText w:val=""/>
      <w:lvlJc w:val="left"/>
      <w:pPr>
        <w:ind w:left="785" w:hanging="360"/>
      </w:pPr>
      <w:rPr>
        <w:rFonts w:ascii="Wingdings" w:hAnsi="Wingdings" w:hint="default"/>
        <w:lang w:bidi="ar-DZ"/>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E947C5E"/>
    <w:multiLevelType w:val="hybridMultilevel"/>
    <w:tmpl w:val="DD38649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 w15:restartNumberingAfterBreak="0">
    <w:nsid w:val="43543E8D"/>
    <w:multiLevelType w:val="hybridMultilevel"/>
    <w:tmpl w:val="B9547828"/>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15:restartNumberingAfterBreak="0">
    <w:nsid w:val="4E611DF7"/>
    <w:multiLevelType w:val="hybridMultilevel"/>
    <w:tmpl w:val="6486E1FC"/>
    <w:lvl w:ilvl="0" w:tplc="877883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6320E"/>
    <w:multiLevelType w:val="hybridMultilevel"/>
    <w:tmpl w:val="5EA8C682"/>
    <w:lvl w:ilvl="0" w:tplc="FC82CB56">
      <w:start w:val="2"/>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9F26F37"/>
    <w:multiLevelType w:val="hybridMultilevel"/>
    <w:tmpl w:val="9E860C04"/>
    <w:lvl w:ilvl="0" w:tplc="7F2C4814">
      <w:numFmt w:val="bullet"/>
      <w:lvlText w:val=""/>
      <w:lvlJc w:val="left"/>
      <w:pPr>
        <w:ind w:left="36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221926"/>
    <w:multiLevelType w:val="multilevel"/>
    <w:tmpl w:val="DA860A84"/>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58C6924"/>
    <w:multiLevelType w:val="hybridMultilevel"/>
    <w:tmpl w:val="FED84884"/>
    <w:lvl w:ilvl="0" w:tplc="17F2101C">
      <w:start w:val="2"/>
      <w:numFmt w:val="bullet"/>
      <w:lvlText w:val=""/>
      <w:lvlJc w:val="left"/>
      <w:pPr>
        <w:ind w:left="927" w:hanging="360"/>
      </w:pPr>
      <w:rPr>
        <w:rFonts w:ascii="Symbol" w:eastAsiaTheme="minorHAnsi"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683C086C"/>
    <w:multiLevelType w:val="hybridMultilevel"/>
    <w:tmpl w:val="7944BBB4"/>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698E37D8"/>
    <w:multiLevelType w:val="hybridMultilevel"/>
    <w:tmpl w:val="329A8360"/>
    <w:lvl w:ilvl="0" w:tplc="FC82CB56">
      <w:start w:val="2"/>
      <w:numFmt w:val="bullet"/>
      <w:lvlText w:val="-"/>
      <w:lvlJc w:val="left"/>
      <w:pPr>
        <w:ind w:left="1620" w:hanging="360"/>
      </w:pPr>
      <w:rPr>
        <w:rFonts w:ascii="Simplified Arabic" w:eastAsiaTheme="minorHAnsi" w:hAnsi="Simplified Arabic" w:cs="Simplified Arabic"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4" w15:restartNumberingAfterBreak="0">
    <w:nsid w:val="6AAE5792"/>
    <w:multiLevelType w:val="multilevel"/>
    <w:tmpl w:val="707E35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E47F83"/>
    <w:multiLevelType w:val="hybridMultilevel"/>
    <w:tmpl w:val="C72C7E0A"/>
    <w:lvl w:ilvl="0" w:tplc="516CF474">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abstractNumId w:val="0"/>
  </w:num>
  <w:num w:numId="2">
    <w:abstractNumId w:val="8"/>
  </w:num>
  <w:num w:numId="3">
    <w:abstractNumId w:val="15"/>
  </w:num>
  <w:num w:numId="4">
    <w:abstractNumId w:val="14"/>
  </w:num>
  <w:num w:numId="5">
    <w:abstractNumId w:val="4"/>
  </w:num>
  <w:num w:numId="6">
    <w:abstractNumId w:val="11"/>
  </w:num>
  <w:num w:numId="7">
    <w:abstractNumId w:val="5"/>
  </w:num>
  <w:num w:numId="8">
    <w:abstractNumId w:val="12"/>
  </w:num>
  <w:num w:numId="9">
    <w:abstractNumId w:val="1"/>
  </w:num>
  <w:num w:numId="10">
    <w:abstractNumId w:val="6"/>
  </w:num>
  <w:num w:numId="11">
    <w:abstractNumId w:val="2"/>
  </w:num>
  <w:num w:numId="12">
    <w:abstractNumId w:val="13"/>
  </w:num>
  <w:num w:numId="13">
    <w:abstractNumId w:val="9"/>
  </w:num>
  <w:num w:numId="14">
    <w:abstractNumId w:val="7"/>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FB"/>
    <w:rsid w:val="00033AE0"/>
    <w:rsid w:val="00074876"/>
    <w:rsid w:val="000903E2"/>
    <w:rsid w:val="000F5E1B"/>
    <w:rsid w:val="00131ABE"/>
    <w:rsid w:val="001761E3"/>
    <w:rsid w:val="00402856"/>
    <w:rsid w:val="005F68EC"/>
    <w:rsid w:val="00666F5E"/>
    <w:rsid w:val="007344CE"/>
    <w:rsid w:val="007673F2"/>
    <w:rsid w:val="00890898"/>
    <w:rsid w:val="00961696"/>
    <w:rsid w:val="00A4712B"/>
    <w:rsid w:val="00B6712E"/>
    <w:rsid w:val="00BA2AFB"/>
    <w:rsid w:val="00C53860"/>
    <w:rsid w:val="00EF4823"/>
    <w:rsid w:val="00FB3C93"/>
    <w:rsid w:val="00FF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116F"/>
  <w15:chartTrackingRefBased/>
  <w15:docId w15:val="{44E5ECB3-FE28-4302-9CAC-269E41C7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73F2"/>
    <w:pPr>
      <w:tabs>
        <w:tab w:val="center" w:pos="4680"/>
        <w:tab w:val="right" w:pos="9360"/>
      </w:tabs>
      <w:spacing w:after="0" w:line="240" w:lineRule="auto"/>
    </w:pPr>
  </w:style>
  <w:style w:type="character" w:customStyle="1" w:styleId="En-tteCar">
    <w:name w:val="En-tête Car"/>
    <w:basedOn w:val="Policepardfaut"/>
    <w:link w:val="En-tte"/>
    <w:uiPriority w:val="99"/>
    <w:rsid w:val="007673F2"/>
  </w:style>
  <w:style w:type="paragraph" w:styleId="Pieddepage">
    <w:name w:val="footer"/>
    <w:basedOn w:val="Normal"/>
    <w:link w:val="PieddepageCar"/>
    <w:uiPriority w:val="99"/>
    <w:unhideWhenUsed/>
    <w:rsid w:val="007673F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673F2"/>
  </w:style>
  <w:style w:type="paragraph" w:styleId="Paragraphedeliste">
    <w:name w:val="List Paragraph"/>
    <w:basedOn w:val="Normal"/>
    <w:link w:val="ParagraphedelisteCar"/>
    <w:uiPriority w:val="34"/>
    <w:qFormat/>
    <w:rsid w:val="00B6712E"/>
    <w:pPr>
      <w:spacing w:after="200" w:line="276" w:lineRule="auto"/>
      <w:ind w:left="720"/>
      <w:contextualSpacing/>
    </w:pPr>
    <w:rPr>
      <w:rFonts w:eastAsiaTheme="minorEastAsia"/>
      <w:lang w:val="fr-FR" w:eastAsia="fr-FR"/>
    </w:rPr>
  </w:style>
  <w:style w:type="paragraph" w:styleId="Notedebasdepage">
    <w:name w:val="footnote text"/>
    <w:aliases w:val=" Char, Char Char Char"/>
    <w:basedOn w:val="Normal"/>
    <w:link w:val="NotedebasdepageCar"/>
    <w:unhideWhenUsed/>
    <w:rsid w:val="00B6712E"/>
    <w:pPr>
      <w:spacing w:after="0" w:line="240" w:lineRule="auto"/>
    </w:pPr>
    <w:rPr>
      <w:sz w:val="20"/>
      <w:szCs w:val="20"/>
      <w:lang w:val="fr-FR"/>
    </w:rPr>
  </w:style>
  <w:style w:type="character" w:customStyle="1" w:styleId="NotedebasdepageCar">
    <w:name w:val="Note de bas de page Car"/>
    <w:aliases w:val=" Char Car, Char Char Char Car"/>
    <w:basedOn w:val="Policepardfaut"/>
    <w:link w:val="Notedebasdepage"/>
    <w:rsid w:val="00B6712E"/>
    <w:rPr>
      <w:sz w:val="20"/>
      <w:szCs w:val="20"/>
      <w:lang w:val="fr-FR"/>
    </w:rPr>
  </w:style>
  <w:style w:type="character" w:styleId="Appelnotedebasdep">
    <w:name w:val="footnote reference"/>
    <w:basedOn w:val="Policepardfaut"/>
    <w:uiPriority w:val="99"/>
    <w:unhideWhenUsed/>
    <w:rsid w:val="00B6712E"/>
    <w:rPr>
      <w:vertAlign w:val="superscript"/>
    </w:rPr>
  </w:style>
  <w:style w:type="character" w:customStyle="1" w:styleId="ParagraphedelisteCar">
    <w:name w:val="Paragraphe de liste Car"/>
    <w:basedOn w:val="Policepardfaut"/>
    <w:link w:val="Paragraphedeliste"/>
    <w:uiPriority w:val="34"/>
    <w:rsid w:val="00B6712E"/>
    <w:rPr>
      <w:rFonts w:eastAsiaTheme="minorEastAsia"/>
      <w:lang w:val="fr-FR" w:eastAsia="fr-FR"/>
    </w:rPr>
  </w:style>
  <w:style w:type="character" w:styleId="Appeldenotedefin">
    <w:name w:val="endnote reference"/>
    <w:basedOn w:val="Policepardfaut"/>
    <w:uiPriority w:val="99"/>
    <w:unhideWhenUsed/>
    <w:rsid w:val="00EF4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604</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dcterms:created xsi:type="dcterms:W3CDTF">2023-10-26T07:35:00Z</dcterms:created>
  <dcterms:modified xsi:type="dcterms:W3CDTF">2023-10-26T08:31:00Z</dcterms:modified>
</cp:coreProperties>
</file>