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99" w:rsidRPr="00A26D99" w:rsidRDefault="00C859DA" w:rsidP="00C859D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>
        <w:rPr>
          <w:rStyle w:val="lev"/>
          <w:rFonts w:asciiTheme="majorBidi" w:hAnsiTheme="majorBidi" w:cstheme="majorBidi"/>
          <w:sz w:val="28"/>
          <w:szCs w:val="28"/>
        </w:rPr>
        <w:t>I-</w:t>
      </w:r>
      <w:r w:rsidR="00A26D99" w:rsidRPr="00A26D99">
        <w:rPr>
          <w:rStyle w:val="lev"/>
          <w:rFonts w:asciiTheme="majorBidi" w:hAnsiTheme="majorBidi" w:cstheme="majorBidi"/>
          <w:sz w:val="28"/>
          <w:szCs w:val="28"/>
        </w:rPr>
        <w:t>Definition of Digital Macro-</w:t>
      </w:r>
      <w:proofErr w:type="spellStart"/>
      <w:r w:rsidR="00A26D99" w:rsidRPr="00A26D99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="00A26D99" w:rsidRPr="00A26D99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A26D99" w:rsidRPr="00A26D99">
        <w:rPr>
          <w:rStyle w:val="lev"/>
          <w:rFonts w:asciiTheme="majorBidi" w:hAnsiTheme="majorBidi" w:cstheme="majorBidi"/>
          <w:sz w:val="28"/>
          <w:szCs w:val="28"/>
        </w:rPr>
        <w:t>Analysis</w:t>
      </w:r>
      <w:proofErr w:type="spellEnd"/>
      <w:r w:rsidR="00A26D99" w:rsidRPr="00A26D99">
        <w:rPr>
          <w:rStyle w:val="lev"/>
          <w:rFonts w:asciiTheme="majorBidi" w:hAnsiTheme="majorBidi" w:cstheme="majorBidi"/>
          <w:sz w:val="28"/>
          <w:szCs w:val="28"/>
        </w:rPr>
        <w:t>:</w:t>
      </w:r>
      <w:proofErr w:type="gramEnd"/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 digital macro-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environment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analysis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examines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broad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external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influence an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organization's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operate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effectively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the online world.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These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forces are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generally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uncontrollable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by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company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but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significant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opportunities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threats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presence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marketing, and business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models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most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common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framework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this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analysis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PESTLE,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which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stands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Political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Economic, Social,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Technological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Legal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Environmental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  <w:bookmarkStart w:id="0" w:name="_GoBack"/>
      <w:bookmarkEnd w:id="0"/>
    </w:p>
    <w:p w:rsidR="003026F0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II-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Key components of a digital macro-</w:t>
      </w:r>
      <w:proofErr w:type="spellStart"/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environment</w:t>
      </w:r>
      <w:proofErr w:type="spellEnd"/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analysis</w:t>
      </w:r>
      <w:proofErr w:type="spellEnd"/>
    </w:p>
    <w:p w:rsidR="005B3076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1-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Political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These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relate to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government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policies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political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which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operations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through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regulations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trade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policies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Government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policy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stability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Political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decisions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influence the business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environment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digital industries,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from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startups to large corporations.</w:t>
      </w:r>
    </w:p>
    <w:p w:rsidR="005B3076" w:rsidRPr="008610B0" w:rsidRDefault="005B3076" w:rsidP="00C859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Data protection and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privacy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regulations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Laws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like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General Data Protection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Regulation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(GDPR) in Europe affect how businesses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handle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process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data.</w:t>
      </w:r>
    </w:p>
    <w:p w:rsidR="005B3076" w:rsidRPr="008610B0" w:rsidRDefault="005B3076" w:rsidP="00C859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Trade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regulations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tariffs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Government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trade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agreements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tariffs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cost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hardware and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operate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across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international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borders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Tax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policy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Digital taxation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laws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profitability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online business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models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2-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Economic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Economic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assess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health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overall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economy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impact on consumer and business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spending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the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space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Economic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growth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and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inflation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Strong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economic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growth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lead to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higher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consumer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spending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goods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services,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while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inflation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reduce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purchasing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power.</w:t>
      </w:r>
    </w:p>
    <w:p w:rsidR="005B3076" w:rsidRPr="008610B0" w:rsidRDefault="005B3076" w:rsidP="00C859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Interest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rates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High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interest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rates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 a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business's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borrow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money for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investments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lastRenderedPageBreak/>
        <w:t xml:space="preserve">Consumer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spending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disposable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income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Fluctuations in how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much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money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consumers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have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heavily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influence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market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e-commerce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subscription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services.</w:t>
      </w:r>
    </w:p>
    <w:p w:rsidR="005B3076" w:rsidRPr="008610B0" w:rsidRDefault="005B3076" w:rsidP="00C859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Digital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globalization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Increased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economic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interconnectedness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through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channels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offers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opportunities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businesses to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expand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globally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3-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Social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Social and cultural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analyze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changing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trends in </w:t>
      </w:r>
      <w:proofErr w:type="gram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consumer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behavior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values,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demographics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shape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landscape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Demographics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Shifts in population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age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gender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race,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income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influence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audience for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.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example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aging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population affects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health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technology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industry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Consumer attitudes and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behavior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Changing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values,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such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as a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desire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greater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sustainability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or a shift to online shopping, impact digital marketing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offerings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Digital-first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lifestyle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rise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remote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work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other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digitally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integrated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lifestyles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affects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demand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various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online services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platforms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Influence of social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media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Social networks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significant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role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purchasing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decisions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brand building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through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peer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-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to-peer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influence and feedback. </w:t>
      </w:r>
    </w:p>
    <w:p w:rsidR="005B3076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4-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Technological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This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critical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area for digital businesses,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focusing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innovations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new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opportunities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disrupt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existing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models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Technological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innovation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Breakthroughs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areas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like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AI, cloud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computing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the internet of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things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IoT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)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change how businesses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distribute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communicate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Digital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platform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developments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evolution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new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devices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platforms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e.g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., social media), and software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constantly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reshapes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digital marketing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landscape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E-commerce and mobile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technology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ongoing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growth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online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retail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mobile use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alters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consumer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purchasing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patterns and expectations.</w:t>
      </w:r>
    </w:p>
    <w:p w:rsidR="005B3076" w:rsidRPr="008610B0" w:rsidRDefault="005B3076" w:rsidP="00C859D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lastRenderedPageBreak/>
        <w:t>Emerging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tech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rise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of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nascent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technologies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like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metaverse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blockchain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presents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new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opportunities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challenges for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5-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Legal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Legal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address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specific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laws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regulations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govern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activities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Intellectual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property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law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Copyright and patent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laws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are crucial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protecting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assets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software.</w:t>
      </w:r>
    </w:p>
    <w:p w:rsidR="005B3076" w:rsidRPr="008610B0" w:rsidRDefault="005B3076" w:rsidP="00C859D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Consumer protection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laws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These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ensure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fair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advertising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protect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consumer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rights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digital transactions.</w:t>
      </w:r>
    </w:p>
    <w:p w:rsidR="005B3076" w:rsidRPr="008610B0" w:rsidRDefault="005B3076" w:rsidP="00C859D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Advertising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standards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Regulations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affect how businesses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market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advertise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their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online,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including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requirements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honest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transparent communication. </w:t>
      </w:r>
    </w:p>
    <w:p w:rsidR="005B3076" w:rsidRPr="008610B0" w:rsidRDefault="00C859DA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6-</w:t>
      </w:r>
      <w:r w:rsidR="005B3076"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Environmental</w:t>
      </w:r>
    </w:p>
    <w:p w:rsidR="005B3076" w:rsidRPr="008610B0" w:rsidRDefault="005B3076" w:rsidP="00C859D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Environmental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ethical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concerns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particularly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relation to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services, are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becoming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more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significant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5B3076" w:rsidRPr="008610B0" w:rsidRDefault="005B3076" w:rsidP="00C859D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Sustainability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and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CSR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Growing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public pressure for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sustainable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business practices influences digital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procurement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supply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chains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, and green-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focused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marketing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campaigns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5B3076" w:rsidRPr="008610B0" w:rsidRDefault="005B3076" w:rsidP="00C859D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Ethical</w:t>
      </w:r>
      <w:proofErr w:type="spellEnd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practices</w:t>
      </w:r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Ethical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considerations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regarding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data collection,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algorithmic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bias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, and the use of user-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generated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content are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increasingly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important for brand </w:t>
      </w:r>
      <w:proofErr w:type="spellStart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reputation</w:t>
      </w:r>
      <w:proofErr w:type="spellEnd"/>
      <w:r w:rsidRPr="008610B0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680752" w:rsidRPr="008610B0" w:rsidRDefault="00C859DA" w:rsidP="00C859DA">
      <w:pPr>
        <w:spacing w:after="0" w:line="360" w:lineRule="auto"/>
        <w:ind w:left="-284"/>
        <w:jc w:val="both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III-</w:t>
      </w:r>
      <w:r w:rsidR="00680752"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Goals of Digital Macro-</w:t>
      </w:r>
      <w:proofErr w:type="spellStart"/>
      <w:r w:rsidR="00680752"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Environment</w:t>
      </w:r>
      <w:proofErr w:type="spellEnd"/>
      <w:r w:rsidR="00680752"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="00680752"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Analysis</w:t>
      </w:r>
      <w:proofErr w:type="spellEnd"/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Understand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External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Influences</w:t>
      </w:r>
      <w:r w:rsidR="00C859DA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:</w:t>
      </w:r>
      <w:proofErr w:type="gramEnd"/>
      <w:r w:rsidR="00C859DA" w:rsidRPr="008610B0">
        <w:rPr>
          <w:rFonts w:ascii="Segoe UI Symbol" w:eastAsia="Times New Roman" w:hAnsi="Segoe UI Symbol" w:cs="Segoe UI Symbol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Identify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external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factors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political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economic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social,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technological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legal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environmental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affect digital marketing and online business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activities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Predict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Future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Trends</w:t>
      </w:r>
      <w:r w:rsidR="00C859DA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:</w:t>
      </w:r>
      <w:proofErr w:type="gramEnd"/>
      <w:r w:rsidR="00C859DA" w:rsidRPr="008610B0">
        <w:rPr>
          <w:rFonts w:ascii="Segoe UI Symbol" w:eastAsia="Times New Roman" w:hAnsi="Segoe UI Symbol" w:cs="Segoe UI Symbol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Anticipate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upcoming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changes in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technology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economy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society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could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impact digital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Support Strategic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Planning</w:t>
      </w:r>
      <w:r w:rsidR="00C859DA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Help businesses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make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informed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, long-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term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decisions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based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external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opportunities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threats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Identify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Opportunities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Risks</w:t>
      </w:r>
      <w:proofErr w:type="spellEnd"/>
      <w:r w:rsidR="00C859DA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:</w:t>
      </w:r>
      <w:proofErr w:type="gramEnd"/>
      <w:r w:rsidR="00C859DA" w:rsidRPr="008610B0">
        <w:rPr>
          <w:rFonts w:ascii="Segoe UI Symbol" w:eastAsia="Times New Roman" w:hAnsi="Segoe UI Symbol" w:cs="Segoe UI Symbol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Detect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new chances for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growth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emerging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markets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new technologies) and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prepare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possible challenges.</w:t>
      </w:r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Adapt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to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Market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Changes</w:t>
      </w:r>
      <w:r w:rsidR="00C859DA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Adjust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digital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quickly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when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major changes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happen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environment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(for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example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new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laws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platform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updates).</w:t>
      </w:r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Improve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Competitive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Advantage</w:t>
      </w:r>
      <w:proofErr w:type="spellEnd"/>
      <w:r w:rsidR="00C859DA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Use insights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stay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ahead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competitors and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attract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more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customers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online.</w:t>
      </w:r>
    </w:p>
    <w:p w:rsidR="00680752" w:rsidRPr="008610B0" w:rsidRDefault="00680752" w:rsidP="00C859DA">
      <w:pPr>
        <w:numPr>
          <w:ilvl w:val="0"/>
          <w:numId w:val="10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Enhance</w:t>
      </w:r>
      <w:proofErr w:type="spellEnd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Decision-</w:t>
      </w:r>
      <w:proofErr w:type="gramStart"/>
      <w:r w:rsidRPr="008610B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Making</w:t>
      </w:r>
      <w:proofErr w:type="spellEnd"/>
      <w:r w:rsidR="00C859DA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:</w:t>
      </w:r>
      <w:proofErr w:type="gram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Provide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managers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data and insights to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make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smarter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marketing and business </w:t>
      </w:r>
      <w:proofErr w:type="spellStart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decisions</w:t>
      </w:r>
      <w:proofErr w:type="spellEnd"/>
      <w:r w:rsidRPr="008610B0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5D2AAF" w:rsidRPr="008610B0" w:rsidRDefault="005D2AAF" w:rsidP="00C859DA">
      <w:pPr>
        <w:pStyle w:val="Titre3"/>
        <w:tabs>
          <w:tab w:val="num" w:pos="0"/>
          <w:tab w:val="left" w:pos="142"/>
          <w:tab w:val="left" w:pos="284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10B0">
        <w:rPr>
          <w:rStyle w:val="lev"/>
          <w:rFonts w:asciiTheme="majorBidi" w:hAnsiTheme="majorBidi" w:cstheme="majorBidi"/>
          <w:b/>
          <w:bCs/>
          <w:sz w:val="28"/>
          <w:szCs w:val="28"/>
        </w:rPr>
        <w:t xml:space="preserve">3. The Relationship </w:t>
      </w:r>
      <w:proofErr w:type="spellStart"/>
      <w:r w:rsidRPr="008610B0">
        <w:rPr>
          <w:rStyle w:val="lev"/>
          <w:rFonts w:asciiTheme="majorBidi" w:hAnsiTheme="majorBidi" w:cstheme="majorBidi"/>
          <w:b/>
          <w:bCs/>
          <w:sz w:val="28"/>
          <w:szCs w:val="28"/>
        </w:rPr>
        <w:t>Between</w:t>
      </w:r>
      <w:proofErr w:type="spellEnd"/>
      <w:r w:rsidRPr="008610B0">
        <w:rPr>
          <w:rStyle w:val="lev"/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8610B0">
        <w:rPr>
          <w:rStyle w:val="lev"/>
          <w:rFonts w:asciiTheme="majorBidi" w:hAnsiTheme="majorBidi" w:cstheme="majorBidi"/>
          <w:b/>
          <w:bCs/>
          <w:sz w:val="28"/>
          <w:szCs w:val="28"/>
        </w:rPr>
        <w:t>Two</w:t>
      </w:r>
      <w:proofErr w:type="spellEnd"/>
      <w:r w:rsidRPr="008610B0">
        <w:rPr>
          <w:rStyle w:val="lev"/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610B0">
        <w:rPr>
          <w:rStyle w:val="lev"/>
          <w:rFonts w:asciiTheme="majorBidi" w:hAnsiTheme="majorBidi" w:cstheme="majorBidi"/>
          <w:b/>
          <w:bCs/>
          <w:sz w:val="28"/>
          <w:szCs w:val="28"/>
        </w:rPr>
        <w:t>Environments</w:t>
      </w:r>
      <w:proofErr w:type="spellEnd"/>
    </w:p>
    <w:p w:rsidR="005D2AAF" w:rsidRPr="008610B0" w:rsidRDefault="005D2AAF" w:rsidP="00C859DA">
      <w:pPr>
        <w:pStyle w:val="NormalWeb"/>
        <w:numPr>
          <w:ilvl w:val="0"/>
          <w:numId w:val="11"/>
        </w:numPr>
        <w:tabs>
          <w:tab w:val="clear" w:pos="720"/>
          <w:tab w:val="num" w:pos="0"/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The macro </w:t>
      </w:r>
      <w:proofErr w:type="spellStart"/>
      <w:r w:rsidRPr="008610B0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 influences the micro </w:t>
      </w:r>
      <w:proofErr w:type="spellStart"/>
      <w:proofErr w:type="gramStart"/>
      <w:r w:rsidRPr="008610B0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>:</w:t>
      </w:r>
      <w:proofErr w:type="gramEnd"/>
      <w:r w:rsidR="00C859DA" w:rsidRPr="008610B0">
        <w:rPr>
          <w:rFonts w:asciiTheme="majorBidi" w:hAnsiTheme="majorBidi" w:cstheme="majorBidi"/>
          <w:sz w:val="28"/>
          <w:szCs w:val="28"/>
        </w:rPr>
        <w:t xml:space="preserve"> </w:t>
      </w:r>
      <w:r w:rsidRPr="008610B0">
        <w:rPr>
          <w:rFonts w:asciiTheme="majorBidi" w:hAnsiTheme="majorBidi" w:cstheme="majorBidi"/>
          <w:sz w:val="28"/>
          <w:szCs w:val="28"/>
        </w:rPr>
        <w:t xml:space="preserve">For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, if new digital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appear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factor in the macro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), the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must change how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collects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data (a micro factor).</w:t>
      </w:r>
    </w:p>
    <w:p w:rsidR="005D2AAF" w:rsidRPr="008610B0" w:rsidRDefault="005D2AAF" w:rsidP="00C859DA">
      <w:pPr>
        <w:pStyle w:val="NormalWeb"/>
        <w:numPr>
          <w:ilvl w:val="0"/>
          <w:numId w:val="11"/>
        </w:numPr>
        <w:tabs>
          <w:tab w:val="clear" w:pos="720"/>
          <w:tab w:val="num" w:pos="0"/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The micro </w:t>
      </w:r>
      <w:proofErr w:type="spellStart"/>
      <w:r w:rsidRPr="008610B0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Style w:val="lev"/>
          <w:rFonts w:asciiTheme="majorBidi" w:hAnsiTheme="majorBidi" w:cstheme="majorBidi"/>
          <w:sz w:val="28"/>
          <w:szCs w:val="28"/>
        </w:rPr>
        <w:t>reacts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 to the macro </w:t>
      </w:r>
      <w:proofErr w:type="spellStart"/>
      <w:proofErr w:type="gramStart"/>
      <w:r w:rsidRPr="008610B0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>:</w:t>
      </w:r>
      <w:proofErr w:type="gramEnd"/>
      <w:r w:rsidR="00C859DA"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and competitors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respond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external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changes,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affects the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whole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digital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>.</w:t>
      </w:r>
    </w:p>
    <w:p w:rsidR="005D2AAF" w:rsidRPr="008610B0" w:rsidRDefault="005D2AAF" w:rsidP="00C859DA">
      <w:pPr>
        <w:pStyle w:val="NormalWeb"/>
        <w:numPr>
          <w:ilvl w:val="0"/>
          <w:numId w:val="11"/>
        </w:numPr>
        <w:tabs>
          <w:tab w:val="clear" w:pos="720"/>
          <w:tab w:val="num" w:pos="0"/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8610B0">
        <w:rPr>
          <w:rStyle w:val="lev"/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Style w:val="lev"/>
          <w:rFonts w:asciiTheme="majorBidi" w:hAnsiTheme="majorBidi" w:cstheme="majorBidi"/>
          <w:sz w:val="28"/>
          <w:szCs w:val="28"/>
        </w:rPr>
        <w:t>is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8610B0">
        <w:rPr>
          <w:rStyle w:val="lev"/>
          <w:rFonts w:asciiTheme="majorBidi" w:hAnsiTheme="majorBidi" w:cstheme="majorBidi"/>
          <w:sz w:val="28"/>
          <w:szCs w:val="28"/>
        </w:rPr>
        <w:t>complementary</w:t>
      </w:r>
      <w:proofErr w:type="spellEnd"/>
      <w:r w:rsidRPr="008610B0">
        <w:rPr>
          <w:rStyle w:val="lev"/>
          <w:rFonts w:asciiTheme="majorBidi" w:hAnsiTheme="majorBidi" w:cstheme="majorBidi"/>
          <w:sz w:val="28"/>
          <w:szCs w:val="28"/>
        </w:rPr>
        <w:t>:</w:t>
      </w:r>
      <w:proofErr w:type="gramEnd"/>
      <w:r w:rsidR="00C859DA" w:rsidRPr="008610B0">
        <w:rPr>
          <w:rFonts w:asciiTheme="majorBidi" w:hAnsiTheme="majorBidi" w:cstheme="majorBidi"/>
          <w:sz w:val="28"/>
          <w:szCs w:val="28"/>
        </w:rPr>
        <w:t xml:space="preserve"> </w:t>
      </w:r>
      <w:r w:rsidRPr="008610B0">
        <w:rPr>
          <w:rFonts w:asciiTheme="majorBidi" w:hAnsiTheme="majorBidi" w:cstheme="majorBidi"/>
          <w:sz w:val="28"/>
          <w:szCs w:val="28"/>
        </w:rPr>
        <w:t xml:space="preserve">To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fully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the digital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environments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must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analyzed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r w:rsidR="00C859DA">
        <w:rPr>
          <w:rFonts w:asciiTheme="majorBidi" w:hAnsiTheme="majorBidi" w:cstheme="majorBidi" w:hint="cs"/>
          <w:sz w:val="28"/>
          <w:szCs w:val="28"/>
          <w:rtl/>
        </w:rPr>
        <w:t>-</w:t>
      </w:r>
      <w:r w:rsidRPr="008610B0">
        <w:rPr>
          <w:rFonts w:asciiTheme="majorBidi" w:hAnsiTheme="majorBidi" w:cstheme="majorBidi"/>
          <w:sz w:val="28"/>
          <w:szCs w:val="28"/>
        </w:rPr>
        <w:t xml:space="preserve"> the macro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sets the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, and the micro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shows how the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operates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10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8610B0">
        <w:rPr>
          <w:rFonts w:asciiTheme="majorBidi" w:hAnsiTheme="majorBidi" w:cstheme="majorBidi"/>
          <w:sz w:val="28"/>
          <w:szCs w:val="28"/>
        </w:rPr>
        <w:t>.</w:t>
      </w:r>
    </w:p>
    <w:p w:rsidR="005D2AAF" w:rsidRPr="008610B0" w:rsidRDefault="005D2AAF" w:rsidP="00C859DA">
      <w:pPr>
        <w:spacing w:after="0" w:line="36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680752" w:rsidRPr="008610B0" w:rsidRDefault="00680752" w:rsidP="00C859D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A0A0A"/>
          <w:sz w:val="28"/>
          <w:szCs w:val="28"/>
          <w:rtl/>
          <w:lang w:eastAsia="fr-FR" w:bidi="ar-DZ"/>
        </w:rPr>
      </w:pPr>
    </w:p>
    <w:p w:rsidR="00791549" w:rsidRPr="008610B0" w:rsidRDefault="00791549" w:rsidP="00C859D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sectPr w:rsidR="00791549" w:rsidRPr="008610B0" w:rsidSect="00C859D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2C32"/>
    <w:multiLevelType w:val="multilevel"/>
    <w:tmpl w:val="6D44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0B54"/>
    <w:multiLevelType w:val="multilevel"/>
    <w:tmpl w:val="A79E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6774B"/>
    <w:multiLevelType w:val="multilevel"/>
    <w:tmpl w:val="B91A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A7FF8"/>
    <w:multiLevelType w:val="multilevel"/>
    <w:tmpl w:val="32A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41601"/>
    <w:multiLevelType w:val="multilevel"/>
    <w:tmpl w:val="03F2C1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4F24"/>
    <w:multiLevelType w:val="multilevel"/>
    <w:tmpl w:val="A954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3468B"/>
    <w:multiLevelType w:val="multilevel"/>
    <w:tmpl w:val="FC3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A3051"/>
    <w:multiLevelType w:val="multilevel"/>
    <w:tmpl w:val="9CEE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B35561"/>
    <w:multiLevelType w:val="multilevel"/>
    <w:tmpl w:val="815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11D45"/>
    <w:multiLevelType w:val="multilevel"/>
    <w:tmpl w:val="18E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82677"/>
    <w:multiLevelType w:val="multilevel"/>
    <w:tmpl w:val="D78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92"/>
    <w:rsid w:val="00121856"/>
    <w:rsid w:val="00280939"/>
    <w:rsid w:val="00290292"/>
    <w:rsid w:val="003026F0"/>
    <w:rsid w:val="003A6B06"/>
    <w:rsid w:val="00414F74"/>
    <w:rsid w:val="004C5A03"/>
    <w:rsid w:val="005B3076"/>
    <w:rsid w:val="005D2AAF"/>
    <w:rsid w:val="00680752"/>
    <w:rsid w:val="00791549"/>
    <w:rsid w:val="008610B0"/>
    <w:rsid w:val="009D6E10"/>
    <w:rsid w:val="00A26D99"/>
    <w:rsid w:val="00C859DA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56903-2A33-49CA-B956-7424FDA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80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6B0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68075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753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276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17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847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881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967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776">
          <w:marLeft w:val="0"/>
          <w:marRight w:val="0"/>
          <w:marTop w:val="225"/>
          <w:marBottom w:val="240"/>
          <w:divBdr>
            <w:top w:val="single" w:sz="6" w:space="11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90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4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12</cp:revision>
  <dcterms:created xsi:type="dcterms:W3CDTF">2025-10-22T17:54:00Z</dcterms:created>
  <dcterms:modified xsi:type="dcterms:W3CDTF">2025-10-26T16:50:00Z</dcterms:modified>
</cp:coreProperties>
</file>