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06" w:rsidRDefault="00A41D06" w:rsidP="00376F0F">
      <w:bookmarkStart w:id="0" w:name="_GoBack"/>
      <w:bookmarkEnd w:id="0"/>
    </w:p>
    <w:p w:rsidR="00376F0F" w:rsidRPr="00A32EDA" w:rsidRDefault="00376F0F" w:rsidP="00376F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t>Question 1</w:t>
      </w:r>
    </w:p>
    <w:p w:rsidR="00376F0F" w:rsidRPr="00376F0F" w:rsidRDefault="00376F0F" w:rsidP="00A32EDA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ABC PLC has issued a convertible bond successfully. The terms of the bond are as</w:t>
      </w:r>
      <w:r w:rsidR="00A32EDA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follows.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Par value of each bond £100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Conversion ratio 50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Conversion premium 100%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What is ABC’s share price at issue?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(a) £2.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(b) £4.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(c) £0.50.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(d) £1.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(e) don’t know.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Answer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The right answer is (d) £1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The conversion ratio is the number of shares into which each bond will convert. Thus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£100 bond converts into 50 shares, giving a nominal £2 per share. The conversion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premium is the premium that the £2 represents over the share price at issue. If the £2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at conversion is 100% over the share price at issue, then the price at issue must be £1.</w:t>
      </w:r>
    </w:p>
    <w:p w:rsidR="00376F0F" w:rsidRPr="00A32EDA" w:rsidRDefault="00376F0F" w:rsidP="00376F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t>Question 2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When raising long-term capital the treasurer can select from instruments which</w:t>
      </w:r>
    </w:p>
    <w:p w:rsidR="00376F0F" w:rsidRPr="00376F0F" w:rsidRDefault="00376F0F" w:rsidP="00A32EDA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combine the characteristics of both debt and equity. If the treasurer decides to issue a</w:t>
      </w:r>
      <w:r w:rsidR="00A32EDA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convertible, which of the following is most likely to be true?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(a) the issue is intended to be debt which is likely to be pre-paid before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conversion. The conversion is incorporated in case repayment is not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lastRenderedPageBreak/>
        <w:t>possible.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(b) the issue is intended to be debt. The conversion is arranged so that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conversion is very unlikely.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(c) the issue is intended to be deferred equity. It is intended that conversion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should take place so that the debt is seen as being temporary.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(d) the yield is the lowest available for the company at the time.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(e) don’t know.</w:t>
      </w:r>
    </w:p>
    <w:p w:rsidR="00376F0F" w:rsidRPr="00376F0F" w:rsidRDefault="00A32EDA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Answer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The right answer is (c) The issue is intended to be deferred equity. It is intended that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conversion should take place so that the debt is seen as being temporary.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Any pre-payment before conversion, if a part of the initial agreement, would be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required to compensate investors appropriately. This would clearly involve buying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out the equity option inherent in the convertible or adjusting the coupon as a form of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compensation. If conversion is “very unlikely” then the option value of that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conversion is low hence the discount from the market debt cost will be low. This will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generate limited interest from both the debt and equity investment community.</w:t>
      </w:r>
    </w:p>
    <w:p w:rsidR="00376F0F" w:rsidRPr="00A32EDA" w:rsidRDefault="00376F0F" w:rsidP="00376F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t>Question 3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Which of the following statements best describes the difference between a convertible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bond and a bond issue with warrants?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(a) for both a convertible and a bond with warrants the debt obligation ceases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to exist after conversion / exercise.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(b) the debt obligation for a convertible ceases after conversion, but remains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after the exercise of warrants.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lastRenderedPageBreak/>
        <w:t>(c) the debt obligation ceases after exercise off warrants, but remains after a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convertible’s conversion.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(d) the conversion rights of a convertible can be traded separately from the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bond but this is not possible with warrants.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(e) don’t know.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Answer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The right answer is (b) the debt obligation for a convertible ceases after conversion,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but remains after the exercise of warrants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</w:p>
    <w:p w:rsidR="00376F0F" w:rsidRPr="00A32EDA" w:rsidRDefault="00376F0F" w:rsidP="00376F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t>Question 4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Using research based on the US financial markets between 1973 and 2000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convertibles were found to be between equity and debt in terms of both risk (i.e.</w:t>
      </w:r>
    </w:p>
    <w:p w:rsidR="00376F0F" w:rsidRPr="00376F0F" w:rsidRDefault="00376F0F" w:rsidP="00442B3D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standard deviation) and return (compound annual return). Interestingly, within that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overall outcome of the research, which of the following statements is true?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(a) convertibles were closer to equity on return, but closer to debt on risk.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(b) convertibles were closer to debt on return but closer to equity on risk.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(c) convertibles were closer to debt on both risk and return.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(d) convertibles were closer to equity on both risk and return.</w:t>
      </w:r>
    </w:p>
    <w:p w:rsid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(e) don’t know.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Answer</w:t>
      </w:r>
    </w:p>
    <w:p w:rsidR="00376F0F" w:rsidRPr="00376F0F" w:rsidRDefault="00376F0F" w:rsidP="00442B3D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The right answer is (a) convertibles were closer to equity on return, but closer to debt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on risk.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The Treasurer Jan/Feb 2004 The Fine Art of Issuing by Kwasi Kwarteng.</w:t>
      </w:r>
    </w:p>
    <w:p w:rsidR="00376F0F" w:rsidRPr="00A32EDA" w:rsidRDefault="00376F0F" w:rsidP="00376F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t>Question 5</w:t>
      </w:r>
    </w:p>
    <w:p w:rsidR="00376F0F" w:rsidRPr="00376F0F" w:rsidRDefault="00376F0F" w:rsidP="00442B3D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Convertible PLC has been advised that it can issue 10-year straight debt at a yield of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 xml:space="preserve">6.5% (annual). Instead, the company could issue a comparable maturity </w:t>
      </w:r>
      <w:r w:rsidRPr="00376F0F">
        <w:rPr>
          <w:rFonts w:asciiTheme="majorBidi" w:hAnsiTheme="majorBidi" w:cstheme="majorBidi"/>
          <w:sz w:val="28"/>
          <w:szCs w:val="28"/>
        </w:rPr>
        <w:lastRenderedPageBreak/>
        <w:t>convertible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bond at par with a coupon of 4.5% (annual). Assuming that this advice is correct,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what is the value of the conversion option implied?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(a) 2%.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(b) 14.16%.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(c) 14.27%.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(d) 14.38%.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(e) don’t know.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Answer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The right answer is (d) 14.38%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If the market yield for an issue of straight debt over 10 years is 6.5%, then this is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figure against which the coupon of the convertible should be compared. Listing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cash flows of 4.5% each year plus principal repayment in year 10 and then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discounting at 6.5% gives a value of 85.622. The difference between par (100)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this value is 14.378. Assuming that the advice is correct and that the issue 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successful, this is the value which investors will place on the option value.</w:t>
      </w:r>
    </w:p>
    <w:p w:rsidR="00376F0F" w:rsidRPr="00376F0F" w:rsidRDefault="00376F0F" w:rsidP="00442B3D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Alternatively, the ‘discount’ of 2% per annum could be discounted for the 10-year life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to yield the same result.</w:t>
      </w:r>
    </w:p>
    <w:p w:rsidR="00376F0F" w:rsidRPr="00442B3D" w:rsidRDefault="00376F0F" w:rsidP="00376F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2B3D">
        <w:rPr>
          <w:rFonts w:asciiTheme="majorBidi" w:hAnsiTheme="majorBidi" w:cstheme="majorBidi"/>
          <w:b/>
          <w:bCs/>
          <w:sz w:val="28"/>
          <w:szCs w:val="28"/>
        </w:rPr>
        <w:t>Question 6</w:t>
      </w:r>
    </w:p>
    <w:p w:rsidR="00376F0F" w:rsidRPr="00376F0F" w:rsidRDefault="00376F0F" w:rsidP="00442B3D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Hedge funds are said to be a major investing force generating demand for convertible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debt. If a hedge fund is seeking an investment which follows the equity price of a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particular company, which of the following would be best?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(a) convertible debt with a high conversion ratio.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(b) convertible debt with a low conversion ratio.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(c) convertible debt with a high conversion premium.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(d) convertible debt with a low conversion premium.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(e) don’t know.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Answer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The right answer is (d) convertible debt with a low conversion premium</w:t>
      </w:r>
    </w:p>
    <w:p w:rsidR="00376F0F" w:rsidRPr="00376F0F" w:rsidRDefault="00376F0F" w:rsidP="00442B3D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lastRenderedPageBreak/>
        <w:t>The conversion ratio on its own is meaningless in this context. It specifies the number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of shares into which each bond may be converted. The conversion premium specifies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how close the current share price is to equating the value of the bond to the value of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the converted shares. Thus, for example, if the conversion premium were zero, then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the bond price movement might move in parallel with the share price movement,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allowing for the value differential between the coupon and the dividend. If the share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value is only half of that value, then each movement in share price is unlikely to have</w:t>
      </w:r>
      <w:r w:rsidR="00442B3D"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such a close relationship to the bond price.</w:t>
      </w:r>
    </w:p>
    <w:p w:rsidR="00376F0F" w:rsidRPr="00376F0F" w:rsidRDefault="00376F0F" w:rsidP="00376F0F">
      <w:pPr>
        <w:rPr>
          <w:rFonts w:asciiTheme="majorBidi" w:hAnsiTheme="majorBidi" w:cstheme="majorBidi"/>
          <w:sz w:val="28"/>
          <w:szCs w:val="28"/>
        </w:rPr>
      </w:pPr>
    </w:p>
    <w:p w:rsidR="00F91E82" w:rsidRPr="00376F0F" w:rsidRDefault="00F91E82" w:rsidP="00F91E82">
      <w:pPr>
        <w:rPr>
          <w:rFonts w:asciiTheme="majorBidi" w:hAnsiTheme="majorBidi" w:cstheme="majorBidi"/>
          <w:sz w:val="28"/>
          <w:szCs w:val="28"/>
        </w:rPr>
      </w:pPr>
    </w:p>
    <w:p w:rsidR="00F91E82" w:rsidRPr="00376F0F" w:rsidRDefault="00F91E82" w:rsidP="00F91E82">
      <w:pPr>
        <w:rPr>
          <w:rFonts w:asciiTheme="majorBidi" w:hAnsiTheme="majorBidi" w:cstheme="majorBidi"/>
          <w:sz w:val="28"/>
          <w:szCs w:val="28"/>
        </w:rPr>
      </w:pPr>
    </w:p>
    <w:p w:rsidR="00F91E82" w:rsidRDefault="00F91E82" w:rsidP="00376F0F">
      <w:pPr>
        <w:rPr>
          <w:rFonts w:asciiTheme="majorBidi" w:hAnsiTheme="majorBidi" w:cstheme="majorBidi"/>
          <w:sz w:val="28"/>
          <w:szCs w:val="28"/>
        </w:rPr>
      </w:pPr>
    </w:p>
    <w:p w:rsidR="00F91E82" w:rsidRDefault="00F91E82" w:rsidP="00376F0F">
      <w:pPr>
        <w:rPr>
          <w:rFonts w:asciiTheme="majorBidi" w:hAnsiTheme="majorBidi" w:cstheme="majorBidi"/>
          <w:sz w:val="28"/>
          <w:szCs w:val="28"/>
        </w:rPr>
      </w:pPr>
    </w:p>
    <w:p w:rsidR="00F91E82" w:rsidRDefault="00F91E82" w:rsidP="00376F0F">
      <w:pPr>
        <w:rPr>
          <w:rFonts w:asciiTheme="majorBidi" w:hAnsiTheme="majorBidi" w:cstheme="majorBidi"/>
          <w:sz w:val="28"/>
          <w:szCs w:val="28"/>
        </w:rPr>
      </w:pPr>
    </w:p>
    <w:p w:rsidR="00F91E82" w:rsidRDefault="00F91E82" w:rsidP="00376F0F">
      <w:pPr>
        <w:rPr>
          <w:rFonts w:asciiTheme="majorBidi" w:hAnsiTheme="majorBidi" w:cstheme="majorBidi"/>
          <w:sz w:val="28"/>
          <w:szCs w:val="28"/>
        </w:rPr>
      </w:pPr>
    </w:p>
    <w:p w:rsidR="00F91E82" w:rsidRDefault="00F91E82" w:rsidP="00376F0F">
      <w:pPr>
        <w:rPr>
          <w:rFonts w:asciiTheme="majorBidi" w:hAnsiTheme="majorBidi" w:cstheme="majorBidi"/>
          <w:sz w:val="28"/>
          <w:szCs w:val="28"/>
        </w:rPr>
      </w:pPr>
    </w:p>
    <w:p w:rsidR="00F91E82" w:rsidRDefault="00F91E82" w:rsidP="00376F0F">
      <w:pPr>
        <w:rPr>
          <w:rFonts w:asciiTheme="majorBidi" w:hAnsiTheme="majorBidi" w:cstheme="majorBidi"/>
          <w:sz w:val="28"/>
          <w:szCs w:val="28"/>
        </w:rPr>
      </w:pPr>
    </w:p>
    <w:p w:rsidR="00F91E82" w:rsidRDefault="00F91E82" w:rsidP="00376F0F">
      <w:pPr>
        <w:rPr>
          <w:rFonts w:asciiTheme="majorBidi" w:hAnsiTheme="majorBidi" w:cstheme="majorBidi"/>
          <w:sz w:val="28"/>
          <w:szCs w:val="28"/>
        </w:rPr>
      </w:pPr>
    </w:p>
    <w:p w:rsidR="00F91E82" w:rsidRDefault="00F91E82" w:rsidP="00376F0F">
      <w:pPr>
        <w:rPr>
          <w:rFonts w:asciiTheme="majorBidi" w:hAnsiTheme="majorBidi" w:cstheme="majorBidi"/>
          <w:sz w:val="28"/>
          <w:szCs w:val="28"/>
        </w:rPr>
      </w:pPr>
    </w:p>
    <w:p w:rsidR="00F91E82" w:rsidRPr="00376F0F" w:rsidRDefault="00F91E82" w:rsidP="00376F0F">
      <w:pPr>
        <w:rPr>
          <w:rFonts w:asciiTheme="majorBidi" w:hAnsiTheme="majorBidi" w:cstheme="majorBidi"/>
          <w:sz w:val="28"/>
          <w:szCs w:val="28"/>
        </w:rPr>
      </w:pPr>
    </w:p>
    <w:sectPr w:rsidR="00F91E82" w:rsidRPr="0037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0F"/>
    <w:rsid w:val="00225123"/>
    <w:rsid w:val="002B232A"/>
    <w:rsid w:val="00376F0F"/>
    <w:rsid w:val="00442B3D"/>
    <w:rsid w:val="007F6B9C"/>
    <w:rsid w:val="00A32EDA"/>
    <w:rsid w:val="00A41D06"/>
    <w:rsid w:val="00EF01F8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0F68C-16A6-4D86-9EE8-CA172F94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pc</dc:creator>
  <cp:keywords/>
  <dc:description/>
  <cp:lastModifiedBy>info pc</cp:lastModifiedBy>
  <cp:revision>2</cp:revision>
  <dcterms:created xsi:type="dcterms:W3CDTF">2025-10-27T21:16:00Z</dcterms:created>
  <dcterms:modified xsi:type="dcterms:W3CDTF">2025-10-27T21:16:00Z</dcterms:modified>
</cp:coreProperties>
</file>