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25688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25688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عاشرة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256889" w:rsidRDefault="00256889" w:rsidP="00256889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bookmarkStart w:id="0" w:name="_GoBack"/>
      <w:bookmarkEnd w:id="0"/>
      <w:r w:rsidRPr="002568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>موازنة الجماعات المحلية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4BE"/>
    <w:multiLevelType w:val="hybridMultilevel"/>
    <w:tmpl w:val="D6F88352"/>
    <w:lvl w:ilvl="0" w:tplc="F81E505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256889"/>
    <w:rsid w:val="0032185B"/>
    <w:rsid w:val="00384CBD"/>
    <w:rsid w:val="006856A6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2DA2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2025-11-09T08:06:00Z</dcterms:modified>
</cp:coreProperties>
</file>