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79686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79686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حادية عشر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796868" w:rsidRDefault="00796868" w:rsidP="00796868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r w:rsidRPr="00796868">
        <w:rPr>
          <w:rFonts w:ascii="Sakkal Majalla" w:hAnsi="Sakkal Majalla" w:cs="Sakkal Majalla" w:hint="cs"/>
          <w:sz w:val="36"/>
          <w:szCs w:val="36"/>
          <w:rtl/>
        </w:rPr>
        <w:t>إشكاليات المالية العمومية في الجزائر: (رشادة الإنفاق العام، الازدواج الضريبي، التهرب الضريبي،</w:t>
      </w:r>
    </w:p>
    <w:bookmarkEnd w:id="0"/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796868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052A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2025-11-09T08:08:00Z</dcterms:modified>
</cp:coreProperties>
</file>