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CC" w:rsidRPr="0027637C" w:rsidRDefault="00CA2FCC">
      <w:pPr>
        <w:rPr>
          <w:rtl/>
        </w:rPr>
      </w:pPr>
    </w:p>
    <w:p w:rsidR="00502569" w:rsidRPr="0027637C" w:rsidRDefault="00CA2FCC" w:rsidP="00CA2FC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27637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محاضرة</w:t>
      </w:r>
      <w:proofErr w:type="gramEnd"/>
      <w:r w:rsidRPr="0027637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رقم 01 مدخل لنظام الموازنة التقديرية</w:t>
      </w:r>
    </w:p>
    <w:p w:rsidR="00CA2FCC" w:rsidRPr="0027637C" w:rsidRDefault="00CA2FCC" w:rsidP="00CA2FCC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27637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تمهيد</w:t>
      </w:r>
      <w:proofErr w:type="gramEnd"/>
    </w:p>
    <w:p w:rsidR="00CA2FCC" w:rsidRPr="0027637C" w:rsidRDefault="00CA2FCC" w:rsidP="00CA2FCC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تعد الموازنة من أقدم الأدوات إذ تعود بدايتها الأولى إلى عصر سيدنا يوسف عليه السلام حيث قام بإعداد موازنة القمح المتوقع </w:t>
      </w:r>
      <w:proofErr w:type="spellStart"/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>إنتاجه،</w:t>
      </w:r>
      <w:proofErr w:type="spellEnd"/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ثم حدد حجم </w:t>
      </w:r>
      <w:proofErr w:type="spellStart"/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>الإنفاقوالإستهلاك،</w:t>
      </w:r>
      <w:proofErr w:type="spellEnd"/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وترجع كلمة موازنة إلى الكلمة </w:t>
      </w:r>
      <w:r w:rsidRPr="0027637C">
        <w:rPr>
          <w:rFonts w:ascii="Sakkal Majalla" w:hAnsi="Sakkal Majalla" w:cs="Sakkal Majalla"/>
          <w:sz w:val="32"/>
          <w:szCs w:val="32"/>
          <w:lang w:bidi="ar-DZ"/>
        </w:rPr>
        <w:t xml:space="preserve">BOUGETTE </w:t>
      </w:r>
      <w:r w:rsidRPr="0027637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وتعني حافظة.</w:t>
      </w:r>
    </w:p>
    <w:p w:rsidR="00CA2FCC" w:rsidRPr="0027637C" w:rsidRDefault="002F1186" w:rsidP="00CA2FCC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spellStart"/>
      <w:r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1/</w:t>
      </w:r>
      <w:proofErr w:type="spellEnd"/>
      <w:r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CA2FCC"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تعريف  الموازنة</w:t>
      </w:r>
      <w:proofErr w:type="gramEnd"/>
      <w:r w:rsidR="00CA2FCC"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التقديرية:</w:t>
      </w:r>
    </w:p>
    <w:p w:rsidR="00CA2FCC" w:rsidRPr="0027637C" w:rsidRDefault="008B2316" w:rsidP="00CA2FCC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27637C">
        <w:rPr>
          <w:rFonts w:ascii="Sakkal Majalla" w:hAnsi="Sakkal Majalla" w:cs="Sakkal Majalla" w:hint="cs"/>
          <w:sz w:val="28"/>
          <w:szCs w:val="28"/>
          <w:rtl/>
        </w:rPr>
        <w:t>هي</w:t>
      </w:r>
      <w:proofErr w:type="gramEnd"/>
      <w:r w:rsidRPr="0027637C">
        <w:rPr>
          <w:rFonts w:ascii="Sakkal Majalla" w:hAnsi="Sakkal Majalla" w:cs="Sakkal Majalla" w:hint="cs"/>
          <w:sz w:val="28"/>
          <w:szCs w:val="28"/>
          <w:rtl/>
        </w:rPr>
        <w:t xml:space="preserve"> تعبير رقمي لخطة شاملة لأوجه نشاط المؤسسة المرغوب تنفيذها مستقبلا وتعتبر هذه الخطة المسار الذي يجب على الجميع المساهمة في وضعه وإشراكه.</w:t>
      </w:r>
    </w:p>
    <w:p w:rsidR="00D5120C" w:rsidRPr="0027637C" w:rsidRDefault="002F1186" w:rsidP="00D5120C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spellStart"/>
      <w:r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2/</w:t>
      </w:r>
      <w:proofErr w:type="spellEnd"/>
      <w:r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D5120C"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أنواع</w:t>
      </w:r>
      <w:proofErr w:type="gramEnd"/>
      <w:r w:rsidR="00D5120C" w:rsidRPr="0027637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الموازنات التقديرية:</w:t>
      </w:r>
    </w:p>
    <w:p w:rsidR="006C566B" w:rsidRPr="0027637C" w:rsidRDefault="00D5120C" w:rsidP="006C566B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معيار الفترة </w:t>
      </w:r>
      <w:proofErr w:type="gramStart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>الزمنية :</w:t>
      </w:r>
      <w:proofErr w:type="gramEnd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27637C">
        <w:rPr>
          <w:rFonts w:ascii="Sakkal Majalla" w:hAnsi="Sakkal Majalla" w:cs="Sakkal Majalla"/>
          <w:sz w:val="28"/>
          <w:szCs w:val="28"/>
          <w:rtl/>
        </w:rPr>
        <w:t xml:space="preserve">تنقسم الموازنات التقديرية حسب هذا المعيار إلى </w:t>
      </w:r>
    </w:p>
    <w:p w:rsidR="00D5120C" w:rsidRPr="0027637C" w:rsidRDefault="00D5120C" w:rsidP="006C566B">
      <w:pPr>
        <w:pStyle w:val="Paragraphedeliste"/>
        <w:numPr>
          <w:ilvl w:val="0"/>
          <w:numId w:val="5"/>
        </w:numPr>
        <w:bidi/>
        <w:spacing w:line="360" w:lineRule="auto"/>
        <w:ind w:left="567" w:hanging="283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>قصيرة</w:t>
      </w:r>
      <w:proofErr w:type="gramEnd"/>
      <w:r w:rsidRPr="0027637C">
        <w:rPr>
          <w:rFonts w:ascii="Sakkal Majalla" w:hAnsi="Sakkal Majalla" w:cs="Sakkal Majalla"/>
          <w:sz w:val="28"/>
          <w:szCs w:val="28"/>
          <w:rtl/>
        </w:rPr>
        <w:t xml:space="preserve"> الأجل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 xml:space="preserve">.      </w:t>
      </w: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طويلة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 xml:space="preserve">الأجل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Pr="0027637C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5120C" w:rsidRPr="0027637C" w:rsidRDefault="00D5120C" w:rsidP="006C566B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معيار طبيعة </w:t>
      </w:r>
      <w:proofErr w:type="gramStart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>الأعمال :</w:t>
      </w:r>
      <w:proofErr w:type="gramEnd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27637C">
        <w:rPr>
          <w:rFonts w:ascii="Sakkal Majalla" w:hAnsi="Sakkal Majalla" w:cs="Sakkal Majalla"/>
          <w:sz w:val="28"/>
          <w:szCs w:val="28"/>
          <w:rtl/>
        </w:rPr>
        <w:t>ويتم تقسيمها حسب هذا المعيار إلى:</w:t>
      </w:r>
    </w:p>
    <w:p w:rsidR="00D5120C" w:rsidRPr="0027637C" w:rsidRDefault="00D5120C" w:rsidP="006C566B">
      <w:pPr>
        <w:pStyle w:val="Paragraphedeliste"/>
        <w:numPr>
          <w:ilvl w:val="0"/>
          <w:numId w:val="6"/>
        </w:numPr>
        <w:bidi/>
        <w:spacing w:line="360" w:lineRule="auto"/>
        <w:ind w:left="567" w:hanging="283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sz w:val="28"/>
          <w:szCs w:val="28"/>
          <w:rtl/>
        </w:rPr>
        <w:t>الموازنات التشغيلية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 xml:space="preserve">.         </w:t>
      </w: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الرأسمالية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5120C" w:rsidRPr="0027637C" w:rsidRDefault="00D5120C" w:rsidP="006C566B">
      <w:pPr>
        <w:pStyle w:val="Paragraphedeliste"/>
        <w:numPr>
          <w:ilvl w:val="0"/>
          <w:numId w:val="14"/>
        </w:numPr>
        <w:tabs>
          <w:tab w:val="right" w:pos="0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معيار </w:t>
      </w:r>
      <w:proofErr w:type="gramStart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>المرونة :</w:t>
      </w:r>
      <w:proofErr w:type="gramEnd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27637C">
        <w:rPr>
          <w:rFonts w:ascii="Sakkal Majalla" w:hAnsi="Sakkal Majalla" w:cs="Sakkal Majalla"/>
          <w:sz w:val="28"/>
          <w:szCs w:val="28"/>
          <w:rtl/>
        </w:rPr>
        <w:t>حسب هذا المعيار تقسم الموازنات إلى نوعين:</w:t>
      </w:r>
    </w:p>
    <w:p w:rsidR="00D5120C" w:rsidRPr="0027637C" w:rsidRDefault="00D5120C" w:rsidP="006C566B">
      <w:pPr>
        <w:pStyle w:val="Paragraphedeliste"/>
        <w:numPr>
          <w:ilvl w:val="0"/>
          <w:numId w:val="7"/>
        </w:numPr>
        <w:tabs>
          <w:tab w:val="right" w:pos="2268"/>
        </w:tabs>
        <w:bidi/>
        <w:spacing w:line="360" w:lineRule="auto"/>
        <w:ind w:left="567" w:hanging="283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 xml:space="preserve">الثابتة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المرنة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:rsidR="00D5120C" w:rsidRPr="0027637C" w:rsidRDefault="00D5120C" w:rsidP="006C566B">
      <w:pPr>
        <w:pStyle w:val="Paragraphedeliste"/>
        <w:numPr>
          <w:ilvl w:val="0"/>
          <w:numId w:val="14"/>
        </w:numPr>
        <w:tabs>
          <w:tab w:val="right" w:pos="425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معيار وحدة القياس </w:t>
      </w:r>
      <w:proofErr w:type="gramStart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>المستعملة :</w:t>
      </w:r>
      <w:proofErr w:type="gramEnd"/>
      <w:r w:rsidRPr="0027637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27637C">
        <w:rPr>
          <w:rFonts w:ascii="Sakkal Majalla" w:hAnsi="Sakkal Majalla" w:cs="Sakkal Majalla"/>
          <w:sz w:val="28"/>
          <w:szCs w:val="28"/>
          <w:rtl/>
        </w:rPr>
        <w:t>وفقا لهذا المعيار تقسم الموازنات إلى:</w:t>
      </w:r>
    </w:p>
    <w:p w:rsidR="00D5120C" w:rsidRPr="0027637C" w:rsidRDefault="00D5120C" w:rsidP="006C566B">
      <w:pPr>
        <w:pStyle w:val="Paragraphedeliste"/>
        <w:numPr>
          <w:ilvl w:val="0"/>
          <w:numId w:val="8"/>
        </w:numPr>
        <w:bidi/>
        <w:spacing w:line="360" w:lineRule="auto"/>
        <w:ind w:left="567" w:hanging="283"/>
        <w:jc w:val="both"/>
        <w:rPr>
          <w:rFonts w:ascii="Sakkal Majalla" w:hAnsi="Sakkal Majalla" w:cs="Sakkal Majalla"/>
          <w:sz w:val="28"/>
          <w:szCs w:val="28"/>
        </w:rPr>
      </w:pP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 xml:space="preserve">العينية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الموازنات </w:t>
      </w:r>
      <w:proofErr w:type="gramStart"/>
      <w:r w:rsidRPr="0027637C">
        <w:rPr>
          <w:rFonts w:ascii="Sakkal Majalla" w:hAnsi="Sakkal Majalla" w:cs="Sakkal Majalla"/>
          <w:sz w:val="28"/>
          <w:szCs w:val="28"/>
          <w:rtl/>
        </w:rPr>
        <w:t xml:space="preserve">النقدية </w:t>
      </w:r>
      <w:r w:rsidR="006C566B" w:rsidRPr="0027637C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:rsidR="00D5120C" w:rsidRPr="006C566B" w:rsidRDefault="002F1186" w:rsidP="006C566B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3/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C566B" w:rsidRPr="006C566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خصائص الموازنة التقديرية: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يتم التعبير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عن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الموازنة في شكل مبالغ مالية أو كمية.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تتميز بالشمولية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كونها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تضم جميع أوجه نشاط المؤسسة.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تتعلق بفترة زمنية مستقبلية.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تقوم على مبدأ التقدير.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مساهمة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كل مستويات المؤسسة في إعدادها.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بمثابة المسار الذي يجب على الجميع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إحترامه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نظام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للمعلومات.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وسيلة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لإتخاذ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القرارات.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أداة فعالة للرقابة وتقييم الأداء.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تحديد مسؤولية كل فرد وكل قسم.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أهمية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إعداد الموازنة التقديرية: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تساعد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إتخاذ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القرارات.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تساعد على التخطيط والتنسيق.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تسمح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بالتأكد من أن الأهداف واقعية مستنبطة من الوضعية الحالية.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تسمح بجعل الأهداف والسياسات في المؤسسة مرنة.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تسمح للإدارة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بالإهتمام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أكثر بالتخطيط.</w:t>
      </w:r>
    </w:p>
    <w:p w:rsidR="006C566B" w:rsidRDefault="006C566B" w:rsidP="006C566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إلزام الإدارة بدراسة أسواقها ومنتجاتها.</w:t>
      </w:r>
    </w:p>
    <w:p w:rsidR="00692ED9" w:rsidRPr="00692ED9" w:rsidRDefault="002F1186" w:rsidP="002F1186">
      <w:pPr>
        <w:bidi/>
        <w:spacing w:before="100" w:beforeAutospacing="1" w:after="0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4/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692ED9" w:rsidRPr="00692ED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الوظائف الرئيسية للموازنة التقديرية:</w:t>
      </w:r>
    </w:p>
    <w:p w:rsidR="00692ED9" w:rsidRPr="00D5120C" w:rsidRDefault="00692ED9" w:rsidP="00692ED9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التخطيط،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التنسيق،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الرقابة والتحفيز.</w:t>
      </w:r>
    </w:p>
    <w:p w:rsidR="00E806A2" w:rsidRPr="00E806A2" w:rsidRDefault="002F1186" w:rsidP="0027637C">
      <w:pPr>
        <w:bidi/>
        <w:spacing w:before="100" w:beforeAutospacing="1" w:after="0" w:line="240" w:lineRule="auto"/>
        <w:jc w:val="both"/>
        <w:rPr>
          <w:rFonts w:ascii="Sakkal Majalla" w:hAnsi="Sakkal Majalla" w:cs="Sakkal Majalla"/>
          <w:sz w:val="28"/>
          <w:szCs w:val="28"/>
          <w:u w:val="single"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5/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E806A2" w:rsidRPr="00E806A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العوامل المتحكمة في إعداد الموازنات التقديرية</w:t>
      </w:r>
    </w:p>
    <w:p w:rsidR="00E806A2" w:rsidRPr="00E806A2" w:rsidRDefault="00E806A2" w:rsidP="00E806A2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806A2">
        <w:rPr>
          <w:rFonts w:ascii="Sakkal Majalla" w:hAnsi="Sakkal Majalla" w:cs="Sakkal Majalla"/>
          <w:sz w:val="28"/>
          <w:szCs w:val="28"/>
          <w:rtl/>
        </w:rPr>
        <w:t xml:space="preserve">تتمثل العوامل المتحكمة في إعداد الموازنات </w:t>
      </w:r>
      <w:proofErr w:type="gramStart"/>
      <w:r w:rsidRPr="00E806A2">
        <w:rPr>
          <w:rFonts w:ascii="Sakkal Majalla" w:hAnsi="Sakkal Majalla" w:cs="Sakkal Majalla"/>
          <w:sz w:val="28"/>
          <w:szCs w:val="28"/>
          <w:rtl/>
        </w:rPr>
        <w:t>التقديرية</w:t>
      </w:r>
      <w:proofErr w:type="gramEnd"/>
      <w:r w:rsidRPr="00E806A2">
        <w:rPr>
          <w:rFonts w:ascii="Sakkal Majalla" w:hAnsi="Sakkal Majalla" w:cs="Sakkal Majalla"/>
          <w:sz w:val="28"/>
          <w:szCs w:val="28"/>
          <w:rtl/>
        </w:rPr>
        <w:t xml:space="preserve"> في:</w:t>
      </w:r>
    </w:p>
    <w:p w:rsidR="00E806A2" w:rsidRPr="006C566B" w:rsidRDefault="00E806A2" w:rsidP="00E806A2">
      <w:pPr>
        <w:pStyle w:val="Paragraphedeliste"/>
        <w:numPr>
          <w:ilvl w:val="0"/>
          <w:numId w:val="2"/>
        </w:numPr>
        <w:bidi/>
        <w:spacing w:after="0" w:line="240" w:lineRule="auto"/>
        <w:ind w:left="454"/>
        <w:jc w:val="both"/>
        <w:rPr>
          <w:rFonts w:ascii="Sakkal Majalla" w:hAnsi="Sakkal Majalla" w:cs="Sakkal Majalla"/>
          <w:sz w:val="28"/>
          <w:szCs w:val="28"/>
        </w:rPr>
      </w:pPr>
      <w:r w:rsidRPr="006C566B">
        <w:rPr>
          <w:rFonts w:ascii="Sakkal Majalla" w:hAnsi="Sakkal Majalla" w:cs="Sakkal Majalla"/>
          <w:sz w:val="28"/>
          <w:szCs w:val="28"/>
          <w:rtl/>
        </w:rPr>
        <w:t xml:space="preserve">حجم المبيعات </w:t>
      </w:r>
      <w:proofErr w:type="spellStart"/>
      <w:r w:rsidRPr="006C566B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</w:p>
    <w:p w:rsidR="00E806A2" w:rsidRPr="006C566B" w:rsidRDefault="00E806A2" w:rsidP="00E806A2">
      <w:pPr>
        <w:pStyle w:val="Paragraphedeliste"/>
        <w:numPr>
          <w:ilvl w:val="0"/>
          <w:numId w:val="2"/>
        </w:numPr>
        <w:bidi/>
        <w:spacing w:after="0" w:line="240" w:lineRule="auto"/>
        <w:ind w:left="454"/>
        <w:jc w:val="both"/>
        <w:rPr>
          <w:rFonts w:ascii="Sakkal Majalla" w:hAnsi="Sakkal Majalla" w:cs="Sakkal Majalla"/>
          <w:sz w:val="28"/>
          <w:szCs w:val="28"/>
        </w:rPr>
      </w:pPr>
      <w:r w:rsidRPr="006C566B">
        <w:rPr>
          <w:rFonts w:ascii="Sakkal Majalla" w:hAnsi="Sakkal Majalla" w:cs="Sakkal Majalla"/>
          <w:sz w:val="28"/>
          <w:szCs w:val="28"/>
          <w:rtl/>
        </w:rPr>
        <w:t xml:space="preserve"> الطاقة الإنتاجية المتاحة </w:t>
      </w:r>
      <w:proofErr w:type="spellStart"/>
      <w:r w:rsidRPr="006C566B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</w:p>
    <w:p w:rsidR="00E806A2" w:rsidRPr="006C566B" w:rsidRDefault="00E806A2" w:rsidP="00E806A2">
      <w:pPr>
        <w:pStyle w:val="Paragraphedeliste"/>
        <w:numPr>
          <w:ilvl w:val="0"/>
          <w:numId w:val="2"/>
        </w:numPr>
        <w:bidi/>
        <w:spacing w:after="0" w:line="240" w:lineRule="auto"/>
        <w:ind w:left="454"/>
        <w:jc w:val="both"/>
        <w:rPr>
          <w:rFonts w:ascii="Sakkal Majalla" w:hAnsi="Sakkal Majalla" w:cs="Sakkal Majalla"/>
          <w:sz w:val="28"/>
          <w:szCs w:val="28"/>
        </w:rPr>
      </w:pPr>
      <w:r w:rsidRPr="006C566B">
        <w:rPr>
          <w:rFonts w:ascii="Sakkal Majalla" w:hAnsi="Sakkal Majalla" w:cs="Sakkal Majalla"/>
          <w:sz w:val="28"/>
          <w:szCs w:val="28"/>
          <w:rtl/>
        </w:rPr>
        <w:t xml:space="preserve">مستلزمات </w:t>
      </w:r>
      <w:proofErr w:type="gramStart"/>
      <w:r w:rsidRPr="006C566B">
        <w:rPr>
          <w:rFonts w:ascii="Sakkal Majalla" w:hAnsi="Sakkal Majalla" w:cs="Sakkal Majalla"/>
          <w:sz w:val="28"/>
          <w:szCs w:val="28"/>
          <w:rtl/>
        </w:rPr>
        <w:t xml:space="preserve">الإنتاج </w:t>
      </w:r>
      <w:proofErr w:type="spellStart"/>
      <w:r w:rsidRPr="006C566B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proofErr w:type="gramEnd"/>
    </w:p>
    <w:p w:rsidR="00E806A2" w:rsidRDefault="00E806A2" w:rsidP="00E806A2">
      <w:pPr>
        <w:pStyle w:val="Paragraphedeliste"/>
        <w:numPr>
          <w:ilvl w:val="0"/>
          <w:numId w:val="2"/>
        </w:numPr>
        <w:bidi/>
        <w:spacing w:after="0" w:line="240" w:lineRule="auto"/>
        <w:ind w:left="454"/>
        <w:jc w:val="both"/>
        <w:rPr>
          <w:rFonts w:ascii="Sakkal Majalla" w:hAnsi="Sakkal Majalla" w:cs="Sakkal Majalla"/>
          <w:sz w:val="28"/>
          <w:szCs w:val="28"/>
        </w:rPr>
      </w:pPr>
      <w:r w:rsidRPr="006C566B">
        <w:rPr>
          <w:rFonts w:ascii="Sakkal Majalla" w:hAnsi="Sakkal Majalla" w:cs="Sakkal Majalla"/>
          <w:sz w:val="28"/>
          <w:szCs w:val="28"/>
          <w:rtl/>
        </w:rPr>
        <w:t xml:space="preserve">رأس المال العامل </w:t>
      </w:r>
      <w:r w:rsidRPr="006C566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F1186" w:rsidRDefault="002F1186" w:rsidP="0027637C">
      <w:pPr>
        <w:bidi/>
        <w:spacing w:before="100" w:beforeAutospacing="1" w:after="0" w:line="240" w:lineRule="auto"/>
        <w:ind w:left="94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spellStart"/>
      <w:r w:rsidRPr="002F118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6/</w:t>
      </w:r>
      <w:proofErr w:type="spellEnd"/>
      <w:r w:rsidRPr="002F118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2F118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خطوات</w:t>
      </w:r>
      <w:proofErr w:type="gramEnd"/>
      <w:r w:rsidRPr="002F118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إعداد الموازنة التقديرية:</w:t>
      </w:r>
    </w:p>
    <w:p w:rsidR="002F1186" w:rsidRPr="002F1186" w:rsidRDefault="00696BE0" w:rsidP="0027637C">
      <w:pPr>
        <w:bidi/>
        <w:spacing w:before="100" w:beforeAutospacing="1" w:after="0" w:line="240" w:lineRule="auto"/>
        <w:ind w:left="94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98.15pt;margin-top:118.05pt;width:21.75pt;height:0;flip:x;z-index:251677696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51" type="#_x0000_t32" style="position:absolute;left:0;text-align:left;margin-left:298.15pt;margin-top:169.05pt;width:21.75pt;height:0;z-index:251681792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50" type="#_x0000_t32" style="position:absolute;left:0;text-align:left;margin-left:151.15pt;margin-top:169.05pt;width:12.75pt;height:0;z-index:251680768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9" type="#_x0000_t32" style="position:absolute;left:0;text-align:left;margin-left:83.65pt;margin-top:133.05pt;width:0;height:24pt;z-index:251679744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8" type="#_x0000_t32" style="position:absolute;left:0;text-align:left;margin-left:151.15pt;margin-top:118.05pt;width:12.75pt;height:0;flip:x;z-index:251678720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6" type="#_x0000_t32" style="position:absolute;left:0;text-align:left;margin-left:381.4pt;margin-top:84.3pt;width:0;height:20.25pt;z-index:251676672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5" type="#_x0000_t32" style="position:absolute;left:0;text-align:left;margin-left:298.15pt;margin-top:70.05pt;width:16.5pt;height:0;z-index:251675648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4" type="#_x0000_t32" style="position:absolute;left:0;text-align:left;margin-left:151.15pt;margin-top:70.05pt;width:12.75pt;height:0;z-index:251674624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3" type="#_x0000_t32" style="position:absolute;left:0;text-align:left;margin-left:82.9pt;margin-top:40.8pt;width:.75pt;height:15pt;z-index:251673600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2" type="#_x0000_t32" style="position:absolute;left:0;text-align:left;margin-left:147.4pt;margin-top:24.3pt;width:16.5pt;height:0;flip:x;z-index:251672576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41" type="#_x0000_t32" style="position:absolute;left:0;text-align:left;margin-left:298.15pt;margin-top:24.3pt;width:16.5pt;height:0;flip:x;z-index:251671552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40" style="position:absolute;left:0;text-align:left;margin-left:319.9pt;margin-top:157.05pt;width:134.25pt;height:28.5pt;z-index:251670528">
            <v:textbox>
              <w:txbxContent>
                <w:p w:rsidR="002F1186" w:rsidRPr="002F1186" w:rsidRDefault="002F1186" w:rsidP="002F1186">
                  <w:pPr>
                    <w:jc w:val="center"/>
                    <w:rPr>
                      <w:sz w:val="20"/>
                      <w:szCs w:val="20"/>
                      <w:lang w:bidi="ar-DZ"/>
                    </w:rPr>
                  </w:pPr>
                  <w:proofErr w:type="gramStart"/>
                  <w:r w:rsidRPr="002F1186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>إعداد</w:t>
                  </w:r>
                  <w:proofErr w:type="gramEnd"/>
                  <w:r w:rsidRPr="002F1186">
                    <w:rPr>
                      <w:rFonts w:hint="cs"/>
                      <w:sz w:val="20"/>
                      <w:szCs w:val="20"/>
                      <w:rtl/>
                      <w:lang w:bidi="ar-DZ"/>
                    </w:rPr>
                    <w:t xml:space="preserve"> موازنة الميزانية العمومية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9" style="position:absolute;left:0;text-align:left;margin-left:163.9pt;margin-top:157.05pt;width:134.25pt;height:28.5pt;z-index:251669504">
            <v:textbox>
              <w:txbxContent>
                <w:p w:rsidR="002F1186" w:rsidRDefault="002F118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قائمة التدفق النقدي    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0" style="position:absolute;left:0;text-align:left;margin-left:314.65pt;margin-top:55.8pt;width:134.25pt;height:28.5pt;z-index:251660288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موازنة المواد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3" style="position:absolute;left:0;text-align:left;margin-left:319.9pt;margin-top:104.55pt;width:134.25pt;height:28.5pt;z-index:251663360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موازنة العمالة والأجور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4" style="position:absolute;left:0;text-align:left;margin-left:163.9pt;margin-top:104.55pt;width:134.25pt;height:28.5pt;z-index:251664384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موازنة الخدمات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1" style="position:absolute;left:0;text-align:left;margin-left:16.9pt;margin-top:157.05pt;width:134.25pt;height:28.5pt;z-index:251661312">
            <v:textbox>
              <w:txbxContent>
                <w:p w:rsidR="002F1186" w:rsidRDefault="002F1186" w:rsidP="002F1186">
                  <w:pPr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قائمة التدفق النقدي     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2" style="position:absolute;left:0;text-align:left;margin-left:163.9pt;margin-top:55.8pt;width:134.25pt;height:28.5pt;z-index:251662336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الموازنة المالية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5" style="position:absolute;left:0;text-align:left;margin-left:16.9pt;margin-top:104.55pt;width:134.25pt;height:28.5pt;z-index:251665408">
            <v:textbox>
              <w:txbxContent>
                <w:p w:rsidR="002F1186" w:rsidRDefault="002F118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إعداد موازنة الإنفاق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 xml:space="preserve">الرأسمالي  </w:t>
                  </w:r>
                  <w:proofErr w:type="gramEnd"/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6" style="position:absolute;left:0;text-align:left;margin-left:16.9pt;margin-top:55.8pt;width:134.25pt;height:28.5pt;z-index:251666432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إعداد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الموازنة العينية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7" style="position:absolute;left:0;text-align:left;margin-left:13.15pt;margin-top:12.3pt;width:134.25pt;height:28.5pt;z-index:251667456">
            <v:textbox>
              <w:txbxContent>
                <w:p w:rsidR="002F1186" w:rsidRDefault="002F1186" w:rsidP="002F1186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التنبؤ بحجم المبيعات أو </w:t>
                  </w: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الإنتاج</w:t>
                  </w:r>
                  <w:proofErr w:type="gramEnd"/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8" style="position:absolute;left:0;text-align:left;margin-left:163.9pt;margin-top:12.3pt;width:134.25pt;height:28.5pt;z-index:251668480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تحديد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الأهداف التنفيذية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eastAsia="fr-FR"/>
        </w:rPr>
        <w:pict>
          <v:rect id="_x0000_s1029" style="position:absolute;left:0;text-align:left;margin-left:314.65pt;margin-top:12.3pt;width:134.25pt;height:28.5pt;z-index:251659264">
            <v:textbox>
              <w:txbxContent>
                <w:p w:rsidR="002F1186" w:rsidRDefault="002F1186" w:rsidP="002F1186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الدعوة لإعدادها</w:t>
                  </w:r>
                </w:p>
              </w:txbxContent>
            </v:textbox>
          </v:rect>
        </w:pict>
      </w:r>
    </w:p>
    <w:sectPr w:rsidR="002F1186" w:rsidRPr="002F1186" w:rsidSect="005025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AA" w:rsidRDefault="00787EAA" w:rsidP="00E806A2">
      <w:pPr>
        <w:spacing w:after="0" w:line="240" w:lineRule="auto"/>
      </w:pPr>
      <w:r>
        <w:separator/>
      </w:r>
    </w:p>
  </w:endnote>
  <w:endnote w:type="continuationSeparator" w:id="0">
    <w:p w:rsidR="00787EAA" w:rsidRDefault="00787EAA" w:rsidP="00E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AA" w:rsidRDefault="00787EAA" w:rsidP="00E806A2">
      <w:pPr>
        <w:spacing w:after="0" w:line="240" w:lineRule="auto"/>
      </w:pPr>
      <w:r>
        <w:separator/>
      </w:r>
    </w:p>
  </w:footnote>
  <w:footnote w:type="continuationSeparator" w:id="0">
    <w:p w:rsidR="00787EAA" w:rsidRDefault="00787EAA" w:rsidP="00E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7C" w:rsidRDefault="00696BE0" w:rsidP="0027637C">
    <w:pPr>
      <w:pStyle w:val="En-tte"/>
    </w:pPr>
    <w:r>
      <w:rPr>
        <w:noProof/>
        <w:lang w:eastAsia="fr-FR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49" type="#_x0000_t98" style="position:absolute;margin-left:18.15pt;margin-top:-34.95pt;width:421.1pt;height:80.9pt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 style="mso-next-textbox:#_x0000_s2049">
            <w:txbxContent>
              <w:p w:rsidR="0027637C" w:rsidRPr="00CA2FCC" w:rsidRDefault="0027637C" w:rsidP="0027637C">
                <w:pPr>
                  <w:bidi/>
                  <w:spacing w:after="0"/>
                  <w:jc w:val="center"/>
                  <w:rPr>
                    <w:rFonts w:ascii="Sakkal Majalla" w:hAnsi="Sakkal Majalla" w:cs="Sakkal Majalla"/>
                    <w:sz w:val="36"/>
                    <w:szCs w:val="36"/>
                    <w:rtl/>
                    <w:lang w:bidi="ar-DZ"/>
                  </w:rPr>
                </w:pPr>
                <w:proofErr w:type="gramStart"/>
                <w:r w:rsidRPr="00CA2FCC">
                  <w:rPr>
                    <w:rFonts w:ascii="Sakkal Majalla" w:hAnsi="Sakkal Majalla" w:cs="Sakkal Majalla"/>
                    <w:sz w:val="36"/>
                    <w:szCs w:val="36"/>
                    <w:rtl/>
                    <w:lang w:bidi="ar-DZ"/>
                  </w:rPr>
                  <w:t>مقياس</w:t>
                </w:r>
                <w:proofErr w:type="gramEnd"/>
                <w:r w:rsidRPr="00CA2FCC">
                  <w:rPr>
                    <w:rFonts w:ascii="Sakkal Majalla" w:hAnsi="Sakkal Majalla" w:cs="Sakkal Majalla"/>
                    <w:sz w:val="36"/>
                    <w:szCs w:val="36"/>
                    <w:rtl/>
                    <w:lang w:bidi="ar-DZ"/>
                  </w:rPr>
                  <w:t xml:space="preserve"> الموازنات التقديرية</w:t>
                </w:r>
              </w:p>
              <w:p w:rsidR="0027637C" w:rsidRPr="00CA2FCC" w:rsidRDefault="0027637C" w:rsidP="0027637C">
                <w:pPr>
                  <w:bidi/>
                  <w:rPr>
                    <w:rFonts w:ascii="Sakkal Majalla" w:hAnsi="Sakkal Majalla" w:cs="Sakkal Majalla"/>
                    <w:sz w:val="32"/>
                    <w:szCs w:val="32"/>
                    <w:lang w:bidi="ar-DZ"/>
                  </w:rPr>
                </w:pPr>
                <w:r w:rsidRPr="00CA2FCC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                                                            </w:t>
                </w:r>
                <w:r>
                  <w:rPr>
                    <w:rFonts w:ascii="Sakkal Majalla" w:hAnsi="Sakkal Majalla" w:cs="Sakkal Majalla" w:hint="cs"/>
                    <w:sz w:val="32"/>
                    <w:szCs w:val="32"/>
                    <w:rtl/>
                    <w:lang w:bidi="ar-DZ"/>
                  </w:rPr>
                  <w:t xml:space="preserve">                                                     </w:t>
                </w:r>
                <w:r w:rsidRPr="00CA2FCC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     </w:t>
                </w:r>
                <w:proofErr w:type="spellStart"/>
                <w:r w:rsidRPr="00CA2FCC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>د/</w:t>
                </w:r>
                <w:proofErr w:type="spellEnd"/>
                <w:r w:rsidRPr="00CA2FCC">
                  <w:rPr>
                    <w:rFonts w:ascii="Sakkal Majalla" w:hAnsi="Sakkal Majalla" w:cs="Sakkal Majalla"/>
                    <w:sz w:val="32"/>
                    <w:szCs w:val="32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27637C" w:rsidRDefault="002763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C8F"/>
    <w:multiLevelType w:val="hybridMultilevel"/>
    <w:tmpl w:val="5792D9C4"/>
    <w:lvl w:ilvl="0" w:tplc="EE2EDF48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82C"/>
    <w:multiLevelType w:val="hybridMultilevel"/>
    <w:tmpl w:val="A2EE0A1A"/>
    <w:lvl w:ilvl="0" w:tplc="EAEA949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color w:val="008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B21194"/>
    <w:multiLevelType w:val="hybridMultilevel"/>
    <w:tmpl w:val="E424C642"/>
    <w:lvl w:ilvl="0" w:tplc="872E80B4">
      <w:start w:val="1"/>
      <w:numFmt w:val="arabicAbjad"/>
      <w:lvlText w:val="%1."/>
      <w:lvlJc w:val="left"/>
      <w:pPr>
        <w:ind w:left="216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D2A0525"/>
    <w:multiLevelType w:val="hybridMultilevel"/>
    <w:tmpl w:val="14D0DB36"/>
    <w:lvl w:ilvl="0" w:tplc="BAB2E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84D3976"/>
    <w:multiLevelType w:val="hybridMultilevel"/>
    <w:tmpl w:val="961E62C6"/>
    <w:lvl w:ilvl="0" w:tplc="B5C00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2C52"/>
    <w:multiLevelType w:val="hybridMultilevel"/>
    <w:tmpl w:val="76A87330"/>
    <w:lvl w:ilvl="0" w:tplc="78BC467A">
      <w:start w:val="1"/>
      <w:numFmt w:val="decimal"/>
      <w:lvlText w:val="%1."/>
      <w:lvlJc w:val="left"/>
      <w:pPr>
        <w:ind w:left="2160" w:hanging="360"/>
      </w:pPr>
      <w:rPr>
        <w:rFonts w:ascii="Sakkal Majalla" w:eastAsiaTheme="minorHAnsi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430595F"/>
    <w:multiLevelType w:val="hybridMultilevel"/>
    <w:tmpl w:val="C0728B2C"/>
    <w:lvl w:ilvl="0" w:tplc="63121750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3CF"/>
    <w:multiLevelType w:val="hybridMultilevel"/>
    <w:tmpl w:val="F33ABE64"/>
    <w:lvl w:ilvl="0" w:tplc="912247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A1AD1"/>
    <w:multiLevelType w:val="hybridMultilevel"/>
    <w:tmpl w:val="AA20144A"/>
    <w:lvl w:ilvl="0" w:tplc="BAB2E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73363F"/>
    <w:multiLevelType w:val="hybridMultilevel"/>
    <w:tmpl w:val="E688A93A"/>
    <w:lvl w:ilvl="0" w:tplc="9D02BCD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D1AD2"/>
    <w:multiLevelType w:val="hybridMultilevel"/>
    <w:tmpl w:val="3F18F1A2"/>
    <w:lvl w:ilvl="0" w:tplc="BAB2E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0C6B54"/>
    <w:multiLevelType w:val="hybridMultilevel"/>
    <w:tmpl w:val="D6B460B2"/>
    <w:lvl w:ilvl="0" w:tplc="09A0949E">
      <w:start w:val="4"/>
      <w:numFmt w:val="decimal"/>
      <w:lvlText w:val="%1-"/>
      <w:lvlJc w:val="left"/>
      <w:pPr>
        <w:ind w:left="1440" w:hanging="360"/>
      </w:pPr>
      <w:rPr>
        <w:rFonts w:hint="default"/>
        <w:b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B36FE"/>
    <w:multiLevelType w:val="hybridMultilevel"/>
    <w:tmpl w:val="64522EB0"/>
    <w:lvl w:ilvl="0" w:tplc="BAB2E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D10DB7"/>
    <w:multiLevelType w:val="hybridMultilevel"/>
    <w:tmpl w:val="F5AA3366"/>
    <w:lvl w:ilvl="0" w:tplc="1B8417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FCC"/>
    <w:rsid w:val="0027637C"/>
    <w:rsid w:val="002F1186"/>
    <w:rsid w:val="00323886"/>
    <w:rsid w:val="00441C3B"/>
    <w:rsid w:val="00502569"/>
    <w:rsid w:val="00692ED9"/>
    <w:rsid w:val="00696BE0"/>
    <w:rsid w:val="006C566B"/>
    <w:rsid w:val="00787EAA"/>
    <w:rsid w:val="008B2316"/>
    <w:rsid w:val="00A65BE4"/>
    <w:rsid w:val="00B45B38"/>
    <w:rsid w:val="00C056B9"/>
    <w:rsid w:val="00CA2FCC"/>
    <w:rsid w:val="00D5120C"/>
    <w:rsid w:val="00E8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41"/>
        <o:r id="V:Rule13" type="connector" idref="#_x0000_s1049"/>
        <o:r id="V:Rule14" type="connector" idref="#_x0000_s1043"/>
        <o:r id="V:Rule15" type="connector" idref="#_x0000_s1042"/>
        <o:r id="V:Rule16" type="connector" idref="#_x0000_s1045"/>
        <o:r id="V:Rule17" type="connector" idref="#_x0000_s1050"/>
        <o:r id="V:Rule18" type="connector" idref="#_x0000_s1051"/>
        <o:r id="V:Rule19" type="connector" idref="#_x0000_s1046"/>
        <o:r id="V:Rule20" type="connector" idref="#_x0000_s1044"/>
        <o:r id="V:Rule21" type="connector" idref="#_x0000_s1048"/>
        <o:r id="V:Rule2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6A2"/>
    <w:pPr>
      <w:ind w:left="720"/>
      <w:contextualSpacing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806A2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06A2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06A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7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37C"/>
  </w:style>
  <w:style w:type="paragraph" w:styleId="Pieddepage">
    <w:name w:val="footer"/>
    <w:basedOn w:val="Normal"/>
    <w:link w:val="PieddepageCar"/>
    <w:uiPriority w:val="99"/>
    <w:semiHidden/>
    <w:unhideWhenUsed/>
    <w:rsid w:val="0027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37C"/>
  </w:style>
  <w:style w:type="paragraph" w:styleId="Textedebulles">
    <w:name w:val="Balloon Text"/>
    <w:basedOn w:val="Normal"/>
    <w:link w:val="TextedebullesCar"/>
    <w:uiPriority w:val="99"/>
    <w:semiHidden/>
    <w:unhideWhenUsed/>
    <w:rsid w:val="0027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2021-04-07T20:50:00Z</cp:lastPrinted>
  <dcterms:created xsi:type="dcterms:W3CDTF">2021-04-07T19:18:00Z</dcterms:created>
  <dcterms:modified xsi:type="dcterms:W3CDTF">2024-03-02T15:13:00Z</dcterms:modified>
</cp:coreProperties>
</file>