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95" w:rsidRDefault="00472395" w:rsidP="00472395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7A422B" w:rsidRDefault="007A422B" w:rsidP="007A422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محاضرة رقم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04</w:t>
      </w:r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موازنة تكاليف الإنتاج (المواد الأولية</w:t>
      </w:r>
      <w:proofErr w:type="gramStart"/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،العمل</w:t>
      </w:r>
      <w:proofErr w:type="gramEnd"/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المباشر</w:t>
      </w:r>
      <w:proofErr w:type="spellStart"/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)</w:t>
      </w:r>
      <w:proofErr w:type="spellEnd"/>
    </w:p>
    <w:p w:rsidR="00472395" w:rsidRDefault="00AB2C39" w:rsidP="00472395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A72CD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B2C39" w:rsidRPr="00472395" w:rsidRDefault="00472395" w:rsidP="00472395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4723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1-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B2C39" w:rsidRPr="00472395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الموازنة التقديرية للمواد الأولية:</w:t>
      </w:r>
    </w:p>
    <w:p w:rsidR="00AB2C39" w:rsidRPr="000A72CD" w:rsidRDefault="00AB2C39" w:rsidP="000A72CD">
      <w:pPr>
        <w:bidi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   </w:t>
      </w:r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إن الغاية من هذه الموازنة هو إعداد التقديرات بالكمية والقيمة للمواد الأولية اللازمة لتنفيذ برنامج الإنتاج كما أنها تهدف إلى تحقيق الرقابة على المواد الأولية ونظرا لعدم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إرتباط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المواد واللوازم غير المباشرة ببرنامج الإنتاج فإنه لا يمكن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إعتبارها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ضمن موازنة المواد المباشرة ولكن تضم إلى موازنة المصاريف الصناعية غير المباشرة.</w:t>
      </w:r>
    </w:p>
    <w:p w:rsidR="00AB2C39" w:rsidRPr="000A72CD" w:rsidRDefault="00AB2C39" w:rsidP="000A72CD">
      <w:pPr>
        <w:bidi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وعليه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فإن</w:t>
      </w:r>
      <w:r w:rsidRPr="000A72C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A72CD">
        <w:rPr>
          <w:rFonts w:ascii="Sakkal Majalla" w:eastAsia="Calibri" w:hAnsi="Sakkal Majalla" w:cs="Sakkal Majalla"/>
          <w:sz w:val="28"/>
          <w:szCs w:val="28"/>
          <w:rtl/>
        </w:rPr>
        <w:t>الموازنة التقديرية للمواد الأولية توضح حجم ما تحتاجه المؤسسة من مواد أولية في ضوء موازنة الإنتاج التي تعتبر الأساس في إعدادها.</w:t>
      </w:r>
    </w:p>
    <w:p w:rsidR="00AB2C39" w:rsidRPr="000A72CD" w:rsidRDefault="00AB2C39" w:rsidP="00AB2C39">
      <w:pPr>
        <w:bidi/>
        <w:spacing w:line="276" w:lineRule="auto"/>
        <w:rPr>
          <w:rFonts w:ascii="Sakkal Majalla" w:eastAsia="Calibri" w:hAnsi="Sakkal Majalla" w:cs="Sakkal Majalla"/>
          <w:sz w:val="28"/>
          <w:szCs w:val="28"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أ-</w:t>
      </w:r>
      <w:proofErr w:type="spell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تقدير كمية المواد الأولية للإنتاج</w:t>
      </w:r>
    </w:p>
    <w:p w:rsidR="00AB2C39" w:rsidRPr="000A72CD" w:rsidRDefault="00AB2C39" w:rsidP="00AB2C39">
      <w:pPr>
        <w:bidi/>
        <w:spacing w:line="276" w:lineRule="auto"/>
        <w:ind w:firstLine="397"/>
        <w:jc w:val="both"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إن الغرض من تقدير الكميات من المواد الأولية اللازمة للإنتاج يفترض أولا تحديد مقدار الكمية اللازمة من كل مادة أولية لغرض إنتاج وحدة واحدة من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المنتوج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التام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الصنع،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ثم حساب كمية المواد الأولية الكلية اللازمة للإنتاج على ضوء عدد الوحدات التي يجب إنتاجها طبقا للتقديرات الواردة في الموازنة التقديرية للإنتاج.</w:t>
      </w:r>
    </w:p>
    <w:p w:rsidR="00AB2C39" w:rsidRPr="000A72CD" w:rsidRDefault="00AB2C39" w:rsidP="00AB2C39">
      <w:pPr>
        <w:bidi/>
        <w:spacing w:line="276" w:lineRule="auto"/>
        <w:ind w:firstLine="397"/>
        <w:jc w:val="both"/>
        <w:rPr>
          <w:rFonts w:ascii="Sakkal Majalla" w:eastAsia="Calibri" w:hAnsi="Sakkal Majalla" w:cs="Sakkal Majalla"/>
          <w:sz w:val="28"/>
          <w:szCs w:val="28"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وتتوقف الطريقة التي تستخدم في إعداد الموازنة التقديرية للمواد الأولية المستخدمة في الإنتاج على مدى تماثل السلعة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المنتجة،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فبعض المؤسسات التي تنتج كميات كبيرة من السلع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النمطية،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كالثلاجات والأثاث المعدني تستطيع أن تحدد حاجاتها من المواد الأولية لكل وحدة منتجة على أساس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معیاري،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وتكون مهمة التخطيط في هذه الحالة سهلة. ويمكن تحديد معدل المواد </w:t>
      </w: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الأولية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اللازمة للإنتاج بعدة طرق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منها: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الدراسات الهندسية والسجلات الخاصة باستهلاك المواد الأولية.</w:t>
      </w:r>
    </w:p>
    <w:p w:rsidR="00AB2C39" w:rsidRPr="000A72CD" w:rsidRDefault="00AB2C39" w:rsidP="00AB2C39">
      <w:pPr>
        <w:bidi/>
        <w:spacing w:line="360" w:lineRule="auto"/>
        <w:ind w:firstLine="397"/>
        <w:rPr>
          <w:rFonts w:ascii="Sakkal Majalla" w:eastAsia="Calibri" w:hAnsi="Sakkal Majalla" w:cs="Sakkal Majalla"/>
          <w:sz w:val="28"/>
          <w:szCs w:val="28"/>
          <w:rtl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وفي بعض المؤسسات التي لا يكون فيها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الإستهلاك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نمطيا،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وكذا عندما يتم الإنتاج وفقا للمواصفات التي يحددها العملاء والتي تختلف من عميل إلى عميل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آخر،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تواجه المؤسسات صعوبة في تحديد نسبة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الإستعمال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المعيارية للمواد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الأولية،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وأمام هذه المؤسسات بديلان هما: </w:t>
      </w:r>
    </w:p>
    <w:p w:rsidR="00AB2C39" w:rsidRPr="000A72CD" w:rsidRDefault="00AB2C39" w:rsidP="00AB2C39">
      <w:pPr>
        <w:bidi/>
        <w:spacing w:line="276" w:lineRule="auto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تطوير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إستخدام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النسب التاريخية المستخدمة سابقا في ضوء طبيعة المواد المستعملة.</w:t>
      </w:r>
    </w:p>
    <w:p w:rsidR="00AB2C39" w:rsidRPr="000A72CD" w:rsidRDefault="00AB2C39" w:rsidP="000A72CD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إستخدام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وتطوير العلاقة بين كلفة المواد الأولية وبعض المؤشرات الأخرى (التي يعبر عنها بنسبة مئوية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)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بعد اختيار درجة الثقة فيها. مثل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إستخدام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النسبة المئوية لكلفة المواد الأولية إلى كلفة العمل المباشرة. ولابد من الإشارة إلى أن على المؤسسات عند وضع المعادلات المعيارية للمواد الأولية من أخذ عامل التلف والضياع والأنقاض بنظر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الإعتبار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لتأثيرها على المعدل المعياري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للإستخدام،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وهذا التحديد مهم خاصة عند دراسة مقدار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الإنحرافات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في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إستخدام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المواد.</w:t>
      </w:r>
      <w:r w:rsidRPr="000A72CD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t xml:space="preserve"> </w:t>
      </w:r>
    </w:p>
    <w:p w:rsidR="00AB2C39" w:rsidRPr="000A72CD" w:rsidRDefault="00AB2C39" w:rsidP="00AB2C39">
      <w:pPr>
        <w:autoSpaceDE w:val="0"/>
        <w:autoSpaceDN w:val="0"/>
        <w:bidi/>
        <w:adjustRightInd w:val="0"/>
        <w:spacing w:before="100" w:after="10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A72CD">
        <w:rPr>
          <w:rFonts w:ascii="Sakkal Majalla" w:hAnsi="Sakkal Majalla" w:cs="Sakkal Majalla"/>
          <w:sz w:val="28"/>
          <w:szCs w:val="28"/>
          <w:rtl/>
        </w:rPr>
        <w:t>و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يمكن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حساب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كمية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المواد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اللازمة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للإنتاج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0A72CD">
        <w:rPr>
          <w:rFonts w:ascii="Sakkal Majalla" w:hAnsi="Sakkal Majalla" w:cs="Sakkal Majalla"/>
          <w:sz w:val="28"/>
          <w:szCs w:val="28"/>
          <w:rtl/>
        </w:rPr>
        <w:t>حسب</w:t>
      </w:r>
      <w:proofErr w:type="gramEnd"/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العلاقة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التالية</w:t>
      </w:r>
      <w:r w:rsidRPr="000A72CD">
        <w:rPr>
          <w:rFonts w:ascii="Sakkal Majalla" w:hAnsi="Sakkal Majalla" w:cs="Sakkal Majalla"/>
          <w:sz w:val="28"/>
          <w:szCs w:val="28"/>
        </w:rPr>
        <w:t>:</w:t>
      </w:r>
    </w:p>
    <w:p w:rsidR="00AB2C39" w:rsidRPr="000A72CD" w:rsidRDefault="00520313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26" style="position:absolute;left:0;text-align:left;margin-left:88.1pt;margin-top:7.25pt;width:370.2pt;height:37.35pt;z-index:-251656192"/>
        </w:pic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A72CD">
        <w:rPr>
          <w:rFonts w:ascii="Sakkal Majalla" w:hAnsi="Sakkal Majalla" w:cs="Sakkal Majalla"/>
          <w:sz w:val="28"/>
          <w:szCs w:val="28"/>
          <w:rtl/>
        </w:rPr>
        <w:t>كمية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المواد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اللازمة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 xml:space="preserve">للإنتاج </w:t>
      </w:r>
      <w:proofErr w:type="spellStart"/>
      <w:r w:rsidRPr="000A72CD">
        <w:rPr>
          <w:rFonts w:ascii="Sakkal Majalla" w:hAnsi="Sakkal Majalla" w:cs="Sakkal Majalla"/>
          <w:sz w:val="28"/>
          <w:szCs w:val="28"/>
          <w:rtl/>
        </w:rPr>
        <w:t>=</w:t>
      </w:r>
      <w:proofErr w:type="spellEnd"/>
      <w:r w:rsidRPr="000A72CD">
        <w:rPr>
          <w:rFonts w:ascii="Sakkal Majalla" w:hAnsi="Sakkal Majalla" w:cs="Sakkal Majalla"/>
          <w:sz w:val="28"/>
          <w:szCs w:val="28"/>
          <w:rtl/>
        </w:rPr>
        <w:t xml:space="preserve"> برنامج الإنتاج </w:t>
      </w:r>
      <w:proofErr w:type="spellStart"/>
      <w:r w:rsidRPr="000A72CD">
        <w:rPr>
          <w:rFonts w:ascii="Sakkal Majalla" w:hAnsi="Sakkal Majalla" w:cs="Sakkal Majalla"/>
          <w:sz w:val="28"/>
          <w:szCs w:val="28"/>
          <w:rtl/>
        </w:rPr>
        <w:t>×</w:t>
      </w:r>
      <w:proofErr w:type="spellEnd"/>
      <w:r w:rsidRPr="000A72CD">
        <w:rPr>
          <w:rFonts w:ascii="Sakkal Majalla" w:hAnsi="Sakkal Majalla" w:cs="Sakkal Majalla"/>
          <w:sz w:val="28"/>
          <w:szCs w:val="28"/>
          <w:rtl/>
        </w:rPr>
        <w:t xml:space="preserve"> كمية المواد الأولية لتصنيع الوحدة</w:t>
      </w:r>
    </w:p>
    <w:p w:rsidR="00AB2C39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وبناءا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على ذلك يتم حساب الكمية اللازمة لشرائها من المواد الأولية وفقا للعلاقة التالية:</w:t>
      </w:r>
    </w:p>
    <w:p w:rsidR="00A2366F" w:rsidRPr="000A72CD" w:rsidRDefault="00A2366F" w:rsidP="00A2366F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472395" w:rsidRDefault="00520313" w:rsidP="00472395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/>
          <w:noProof/>
          <w:sz w:val="28"/>
          <w:szCs w:val="28"/>
          <w:rtl/>
        </w:rPr>
        <w:lastRenderedPageBreak/>
        <w:pict>
          <v:rect id="_x0000_s1027" style="position:absolute;left:0;text-align:left;margin-left:-7.7pt;margin-top:20.75pt;width:466pt;height:53pt;z-index:-251655168"/>
        </w:pict>
      </w:r>
    </w:p>
    <w:p w:rsidR="00AB2C39" w:rsidRPr="000A72CD" w:rsidRDefault="00AB2C39" w:rsidP="00472395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الكمية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اللازمة لشرائها من المواد الأولية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=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كمية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المواد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>اللازمة</w:t>
      </w:r>
      <w:r w:rsidRPr="000A72CD">
        <w:rPr>
          <w:rFonts w:ascii="Sakkal Majalla" w:hAnsi="Sakkal Majalla" w:cs="Sakkal Majalla"/>
          <w:sz w:val="28"/>
          <w:szCs w:val="28"/>
        </w:rPr>
        <w:t xml:space="preserve"> </w:t>
      </w:r>
      <w:r w:rsidRPr="000A72CD">
        <w:rPr>
          <w:rFonts w:ascii="Sakkal Majalla" w:hAnsi="Sakkal Majalla" w:cs="Sakkal Majalla"/>
          <w:sz w:val="28"/>
          <w:szCs w:val="28"/>
          <w:rtl/>
        </w:rPr>
        <w:t xml:space="preserve">للإنتاج </w:t>
      </w:r>
      <w:proofErr w:type="spellStart"/>
      <w:r w:rsidRPr="000A72CD">
        <w:rPr>
          <w:rFonts w:ascii="Sakkal Majalla" w:hAnsi="Sakkal Majalla" w:cs="Sakkal Majalla"/>
          <w:sz w:val="28"/>
          <w:szCs w:val="28"/>
          <w:rtl/>
        </w:rPr>
        <w:t>+</w:t>
      </w:r>
      <w:proofErr w:type="spellEnd"/>
      <w:r w:rsidRPr="000A72CD">
        <w:rPr>
          <w:rFonts w:ascii="Sakkal Majalla" w:hAnsi="Sakkal Majalla" w:cs="Sakkal Majalla"/>
          <w:sz w:val="28"/>
          <w:szCs w:val="28"/>
          <w:rtl/>
        </w:rPr>
        <w:t xml:space="preserve"> مخزون آخر المدة </w:t>
      </w:r>
      <w:proofErr w:type="spellStart"/>
      <w:r w:rsidRPr="000A72CD">
        <w:rPr>
          <w:rFonts w:ascii="Sakkal Majalla" w:hAnsi="Sakkal Majalla" w:cs="Sakkal Majalla"/>
          <w:sz w:val="28"/>
          <w:szCs w:val="28"/>
          <w:rtl/>
        </w:rPr>
        <w:t>–</w:t>
      </w:r>
      <w:proofErr w:type="spellEnd"/>
      <w:r w:rsidRPr="000A72CD">
        <w:rPr>
          <w:rFonts w:ascii="Sakkal Majalla" w:hAnsi="Sakkal Majalla" w:cs="Sakkal Majalla"/>
          <w:sz w:val="28"/>
          <w:szCs w:val="28"/>
          <w:rtl/>
        </w:rPr>
        <w:t xml:space="preserve"> مخزون أول المدة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إذن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:</w:t>
      </w:r>
    </w:p>
    <w:p w:rsidR="00AB2C39" w:rsidRPr="000A72CD" w:rsidRDefault="00520313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/>
          <w:noProof/>
          <w:sz w:val="28"/>
          <w:szCs w:val="28"/>
          <w:rtl/>
        </w:rPr>
        <w:pict>
          <v:rect id="_x0000_s1028" style="position:absolute;left:0;text-align:left;margin-left:96.9pt;margin-top:15.95pt;width:358pt;height:49.6pt;z-index:-251654144"/>
        </w:pic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تكلفة المواد الأولية </w:t>
      </w:r>
      <w:proofErr w:type="spellStart"/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=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 الكمية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اللازمة لشرائها من المواد الأولية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×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سعر الشراء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ب-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</w:t>
      </w:r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تقدير الأسعار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</w:rPr>
        <w:t>إن التنبؤ بالأسعار أسهل من التنبؤ بكميات المواد اللازمة للإنتاج.</w:t>
      </w:r>
    </w:p>
    <w:p w:rsidR="00AB2C39" w:rsidRDefault="00AB2C39" w:rsidP="000A72CD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فالأسعار تتبع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السوق،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فإذا كانت السوق مستقرة فإن التقديرات تكون مرضية وبالتالي نستطيع تقييم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مخزونات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المواد الأولية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والمنتوجات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التامة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بسهولة،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أما إذا كانت التقلبات كبيرة في الأسعار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</w:rPr>
        <w:t>فالإنتفاع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</w:rPr>
        <w:t xml:space="preserve"> بالأسعار التقديرية يكون ضئيلا.</w:t>
      </w:r>
    </w:p>
    <w:p w:rsidR="00472395" w:rsidRPr="00472395" w:rsidRDefault="00472395" w:rsidP="00472395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12"/>
          <w:szCs w:val="12"/>
        </w:rPr>
      </w:pPr>
    </w:p>
    <w:p w:rsidR="00AB2C39" w:rsidRPr="000A72CD" w:rsidRDefault="00472395" w:rsidP="00472395">
      <w:pPr>
        <w:pStyle w:val="Paragraphedeliste"/>
        <w:tabs>
          <w:tab w:val="right" w:pos="141"/>
          <w:tab w:val="right" w:pos="425"/>
        </w:tabs>
        <w:bidi/>
        <w:spacing w:before="200" w:after="100" w:afterAutospacing="1" w:line="276" w:lineRule="auto"/>
        <w:ind w:left="0"/>
        <w:jc w:val="both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u w:val="single"/>
          <w:rtl/>
        </w:rPr>
        <w:t>2</w:t>
      </w:r>
      <w:proofErr w:type="spellStart"/>
      <w:r w:rsidR="00AB2C39" w:rsidRPr="000A72CD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>-</w:t>
      </w:r>
      <w:proofErr w:type="spellEnd"/>
      <w:r w:rsidR="00AB2C39" w:rsidRPr="000A72CD"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الموازنة التقديرية للعمل المباشر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يعتبر العمل المباشر من أهم عناصر الإنتاج وتكلفته تمثل قسطا كبيرا في تكلفة الإنتاج ولهذا من الواجب تخطيط الأجور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ومراقبتها،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وتهدف هذه الموازنة إلى تحديد الوقت اللازم لتنفيذ برنامج الإنتاج ومقارنته مع الوقت المتاح من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جهة،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وتقدير تكلفة الأجور المباشرة من جهة ثانية أما العمل غير المباشر فيضم إلى موازنة الأعباء غير المباشرة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ولإعداد هذه </w:t>
      </w: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الموازنة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لا بد من معرفة ما يلي: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برنامج</w:t>
      </w:r>
      <w:proofErr w:type="gram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الإنتاج التقديري.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الوقت اللازم لإنتاج الوحدة من </w:t>
      </w: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المنتوج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والوقت اللازم لتنفيذ برنامج الإنتاج.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الوقت المتاح من العمل المباشر.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>-</w:t>
      </w:r>
      <w:proofErr w:type="spellEnd"/>
      <w:r w:rsidRPr="000A72CD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معدل الأجر الذي يدفع للعامل.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أ-</w:t>
      </w:r>
      <w:proofErr w:type="spell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تقدير الوقت اللازم لتنفيذ برنامج الإنتاج</w:t>
      </w:r>
    </w:p>
    <w:p w:rsidR="00AB2C39" w:rsidRPr="000A72CD" w:rsidRDefault="00AB2C39" w:rsidP="00AB2C39">
      <w:pPr>
        <w:pStyle w:val="Paragraphedeliste"/>
        <w:tabs>
          <w:tab w:val="right" w:pos="141"/>
          <w:tab w:val="right" w:pos="425"/>
        </w:tabs>
        <w:bidi/>
        <w:spacing w:line="276" w:lineRule="auto"/>
        <w:ind w:left="0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proofErr w:type="spell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ب-</w:t>
      </w:r>
      <w:proofErr w:type="spell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>تحديد</w:t>
      </w:r>
      <w:proofErr w:type="gram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  <w:t xml:space="preserve"> الوقت المتاح</w:t>
      </w:r>
    </w:p>
    <w:p w:rsidR="00816884" w:rsidRPr="00F53217" w:rsidRDefault="00AB2C39" w:rsidP="00F53217">
      <w:pPr>
        <w:tabs>
          <w:tab w:val="right" w:pos="141"/>
          <w:tab w:val="right" w:pos="425"/>
        </w:tabs>
        <w:bidi/>
        <w:spacing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proofErr w:type="spell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ج-</w:t>
      </w:r>
      <w:proofErr w:type="spell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proofErr w:type="gramStart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تقدير</w:t>
      </w:r>
      <w:proofErr w:type="gramEnd"/>
      <w:r w:rsidRPr="000A72C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معدل الأجر</w:t>
      </w:r>
    </w:p>
    <w:p w:rsidR="004651CF" w:rsidRPr="00816884" w:rsidRDefault="004651CF" w:rsidP="00816884">
      <w:pPr>
        <w:bidi/>
        <w:rPr>
          <w:rFonts w:ascii="Sakkal Majalla" w:hAnsi="Sakkal Majalla" w:cs="Sakkal Majalla"/>
          <w:sz w:val="28"/>
          <w:szCs w:val="28"/>
        </w:rPr>
      </w:pPr>
    </w:p>
    <w:sectPr w:rsidR="004651CF" w:rsidRPr="00816884" w:rsidSect="00702B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1B" w:rsidRDefault="00AD701B" w:rsidP="00AB2C39">
      <w:r>
        <w:separator/>
      </w:r>
    </w:p>
  </w:endnote>
  <w:endnote w:type="continuationSeparator" w:id="0">
    <w:p w:rsidR="00AD701B" w:rsidRDefault="00AD701B" w:rsidP="00AB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1B" w:rsidRDefault="00AD701B" w:rsidP="00AB2C39">
      <w:r>
        <w:separator/>
      </w:r>
    </w:p>
  </w:footnote>
  <w:footnote w:type="continuationSeparator" w:id="0">
    <w:p w:rsidR="00AD701B" w:rsidRDefault="00AD701B" w:rsidP="00AB2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7" w:rsidRDefault="00520313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3074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7A422B" w:rsidRPr="006D2130" w:rsidRDefault="007A422B" w:rsidP="007A422B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7A422B" w:rsidRPr="006D2130" w:rsidRDefault="007A422B" w:rsidP="007A422B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من إعداد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776427" w:rsidRDefault="007764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5368A"/>
    <w:multiLevelType w:val="hybridMultilevel"/>
    <w:tmpl w:val="7DD030A6"/>
    <w:lvl w:ilvl="0" w:tplc="C4629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E182D"/>
    <w:multiLevelType w:val="hybridMultilevel"/>
    <w:tmpl w:val="2B0CD9D6"/>
    <w:lvl w:ilvl="0" w:tplc="A4EC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D52D1"/>
    <w:rsid w:val="00094EDD"/>
    <w:rsid w:val="000A72CD"/>
    <w:rsid w:val="000B2EAB"/>
    <w:rsid w:val="000C37FA"/>
    <w:rsid w:val="000D1275"/>
    <w:rsid w:val="000D40DA"/>
    <w:rsid w:val="001041DF"/>
    <w:rsid w:val="00107BD0"/>
    <w:rsid w:val="001226DE"/>
    <w:rsid w:val="001865B0"/>
    <w:rsid w:val="001F2A15"/>
    <w:rsid w:val="00214C6E"/>
    <w:rsid w:val="00216A6C"/>
    <w:rsid w:val="00243AB8"/>
    <w:rsid w:val="00277E03"/>
    <w:rsid w:val="0028256A"/>
    <w:rsid w:val="002913C2"/>
    <w:rsid w:val="002A31EA"/>
    <w:rsid w:val="002A3A02"/>
    <w:rsid w:val="002A7751"/>
    <w:rsid w:val="002D3FEF"/>
    <w:rsid w:val="002D52D1"/>
    <w:rsid w:val="002F113B"/>
    <w:rsid w:val="00304BF7"/>
    <w:rsid w:val="00311103"/>
    <w:rsid w:val="003152BF"/>
    <w:rsid w:val="0033709A"/>
    <w:rsid w:val="003550FD"/>
    <w:rsid w:val="003A2689"/>
    <w:rsid w:val="003C077D"/>
    <w:rsid w:val="003E49CF"/>
    <w:rsid w:val="004651CF"/>
    <w:rsid w:val="00465A9C"/>
    <w:rsid w:val="00472395"/>
    <w:rsid w:val="00482E61"/>
    <w:rsid w:val="004954BC"/>
    <w:rsid w:val="004B3222"/>
    <w:rsid w:val="004E1009"/>
    <w:rsid w:val="00517874"/>
    <w:rsid w:val="00520313"/>
    <w:rsid w:val="0052258B"/>
    <w:rsid w:val="0054471C"/>
    <w:rsid w:val="005A753E"/>
    <w:rsid w:val="005B6638"/>
    <w:rsid w:val="005C20F8"/>
    <w:rsid w:val="005C3677"/>
    <w:rsid w:val="005E25A6"/>
    <w:rsid w:val="00611489"/>
    <w:rsid w:val="00621F96"/>
    <w:rsid w:val="00624270"/>
    <w:rsid w:val="0063250F"/>
    <w:rsid w:val="0064462F"/>
    <w:rsid w:val="00644A8B"/>
    <w:rsid w:val="00657092"/>
    <w:rsid w:val="00657594"/>
    <w:rsid w:val="00695872"/>
    <w:rsid w:val="006A283C"/>
    <w:rsid w:val="006F3B44"/>
    <w:rsid w:val="00702B3A"/>
    <w:rsid w:val="00704366"/>
    <w:rsid w:val="00743DEE"/>
    <w:rsid w:val="00776427"/>
    <w:rsid w:val="00792F37"/>
    <w:rsid w:val="007A422B"/>
    <w:rsid w:val="007C7578"/>
    <w:rsid w:val="00803C17"/>
    <w:rsid w:val="00816884"/>
    <w:rsid w:val="008229DD"/>
    <w:rsid w:val="008647EC"/>
    <w:rsid w:val="0087206D"/>
    <w:rsid w:val="008B6352"/>
    <w:rsid w:val="008E1DE2"/>
    <w:rsid w:val="00925CBC"/>
    <w:rsid w:val="009524B1"/>
    <w:rsid w:val="009549A9"/>
    <w:rsid w:val="009555FD"/>
    <w:rsid w:val="009832F0"/>
    <w:rsid w:val="00993945"/>
    <w:rsid w:val="009A70B5"/>
    <w:rsid w:val="009C4817"/>
    <w:rsid w:val="00A2366F"/>
    <w:rsid w:val="00A26E23"/>
    <w:rsid w:val="00A54FE5"/>
    <w:rsid w:val="00A600AA"/>
    <w:rsid w:val="00A66943"/>
    <w:rsid w:val="00A741D7"/>
    <w:rsid w:val="00A901C4"/>
    <w:rsid w:val="00AB2C39"/>
    <w:rsid w:val="00AB4E01"/>
    <w:rsid w:val="00AD701B"/>
    <w:rsid w:val="00AE4076"/>
    <w:rsid w:val="00AF095C"/>
    <w:rsid w:val="00B10DF8"/>
    <w:rsid w:val="00B21FD6"/>
    <w:rsid w:val="00B2282C"/>
    <w:rsid w:val="00B54891"/>
    <w:rsid w:val="00B633C5"/>
    <w:rsid w:val="00BA2D15"/>
    <w:rsid w:val="00BB294C"/>
    <w:rsid w:val="00BD1CE6"/>
    <w:rsid w:val="00C02384"/>
    <w:rsid w:val="00C025B3"/>
    <w:rsid w:val="00C108A1"/>
    <w:rsid w:val="00C5022D"/>
    <w:rsid w:val="00C6188E"/>
    <w:rsid w:val="00C8264C"/>
    <w:rsid w:val="00C85526"/>
    <w:rsid w:val="00CA2065"/>
    <w:rsid w:val="00CB266E"/>
    <w:rsid w:val="00CD50F9"/>
    <w:rsid w:val="00CF7475"/>
    <w:rsid w:val="00D853F0"/>
    <w:rsid w:val="00DA0E28"/>
    <w:rsid w:val="00DB6986"/>
    <w:rsid w:val="00E05F6F"/>
    <w:rsid w:val="00E12EF9"/>
    <w:rsid w:val="00E24D45"/>
    <w:rsid w:val="00E303E4"/>
    <w:rsid w:val="00E92AD6"/>
    <w:rsid w:val="00E9631B"/>
    <w:rsid w:val="00E96C3A"/>
    <w:rsid w:val="00EA0B91"/>
    <w:rsid w:val="00ED6838"/>
    <w:rsid w:val="00EF384A"/>
    <w:rsid w:val="00F03C6D"/>
    <w:rsid w:val="00F3420E"/>
    <w:rsid w:val="00F374E2"/>
    <w:rsid w:val="00F51DB8"/>
    <w:rsid w:val="00F53217"/>
    <w:rsid w:val="00FA75AC"/>
    <w:rsid w:val="00FD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C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C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2C39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AB2C3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B2C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B2C39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7A4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42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91CD0-23E6-406B-B41E-B9F7472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2021-04-24T09:14:00Z</dcterms:created>
  <dcterms:modified xsi:type="dcterms:W3CDTF">2024-03-02T15:36:00Z</dcterms:modified>
</cp:coreProperties>
</file>