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D5" w:rsidRPr="009270D5" w:rsidRDefault="009270D5" w:rsidP="009270D5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9270D5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Chap3-</w:t>
      </w:r>
      <w:r w:rsidRPr="009270D5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 xml:space="preserve"> </w:t>
      </w:r>
      <w:proofErr w:type="spellStart"/>
      <w:r w:rsidRPr="00152E9A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>Accounting</w:t>
      </w:r>
      <w:proofErr w:type="spellEnd"/>
      <w:r w:rsidRPr="00152E9A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 xml:space="preserve"> for </w:t>
      </w:r>
      <w:proofErr w:type="spellStart"/>
      <w:r w:rsidRPr="00152E9A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>Islamic</w:t>
      </w:r>
      <w:proofErr w:type="spellEnd"/>
      <w:r w:rsidRPr="00152E9A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 xml:space="preserve"> </w:t>
      </w:r>
      <w:proofErr w:type="spellStart"/>
      <w:r w:rsidRPr="00152E9A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>deposits</w:t>
      </w:r>
      <w:proofErr w:type="spellEnd"/>
      <w:r w:rsidRPr="00152E9A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 xml:space="preserve"> and </w:t>
      </w:r>
      <w:proofErr w:type="spellStart"/>
      <w:r w:rsidRPr="00152E9A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>investment</w:t>
      </w:r>
      <w:proofErr w:type="spellEnd"/>
      <w:r w:rsidRPr="00152E9A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 xml:space="preserve"> </w:t>
      </w:r>
      <w:proofErr w:type="spellStart"/>
      <w:r w:rsidRPr="00152E9A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>accounts</w:t>
      </w:r>
      <w:proofErr w:type="spellEnd"/>
      <w:r w:rsidRPr="00152E9A">
        <w:rPr>
          <w:rFonts w:ascii="Arial" w:eastAsia="Times New Roman" w:hAnsi="Arial" w:cs="Arial"/>
          <w:b/>
          <w:bCs/>
          <w:color w:val="001D35"/>
          <w:sz w:val="24"/>
          <w:szCs w:val="24"/>
          <w:lang w:eastAsia="fr-FR"/>
        </w:rPr>
        <w:t> </w:t>
      </w:r>
    </w:p>
    <w:p w:rsidR="003E24D0" w:rsidRDefault="003E24D0" w:rsidP="003E24D0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Accounting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Islamic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deposits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investment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accounts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 diverges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from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conventional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banking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by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prohibiting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interest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riba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and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focusing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profit-sharing (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Mudarabah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Musharakah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or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fee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-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based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Wakalah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 arrangements, as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outlined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by the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Islamic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Financial Services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Board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 (</w:t>
      </w:r>
      <w:hyperlink r:id="rId5" w:tgtFrame="_blank" w:history="1">
        <w:r w:rsidRPr="00ED77C7">
          <w:rPr>
            <w:rFonts w:asciiTheme="majorBidi" w:eastAsia="Times New Roman" w:hAnsiTheme="majorBidi" w:cstheme="majorBidi"/>
            <w:sz w:val="28"/>
            <w:szCs w:val="28"/>
            <w:u w:val="single"/>
            <w:lang w:eastAsia="fr-FR"/>
          </w:rPr>
          <w:t>IFSB</w:t>
        </w:r>
      </w:hyperlink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 and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Accounting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and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Auditing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Organization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for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Islamic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Financial Institutions (</w:t>
      </w:r>
      <w:hyperlink r:id="rId6" w:tgtFrame="_blank" w:history="1">
        <w:r w:rsidRPr="00ED77C7">
          <w:rPr>
            <w:rFonts w:asciiTheme="majorBidi" w:eastAsia="Times New Roman" w:hAnsiTheme="majorBidi" w:cstheme="majorBidi"/>
            <w:sz w:val="28"/>
            <w:szCs w:val="28"/>
            <w:u w:val="single"/>
            <w:lang w:eastAsia="fr-FR"/>
          </w:rPr>
          <w:t>AAOIFI</w:t>
        </w:r>
      </w:hyperlink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). Key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differences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include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the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treatment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returns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which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are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shared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based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on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underlying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investments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deposit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accounts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functioning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as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interest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-free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loans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qard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). The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accounting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framework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emphasizes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fairness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transparency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and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adherence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Shariah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principles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leading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different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financial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statements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compared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to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conventional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banks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. </w:t>
      </w:r>
    </w:p>
    <w:p w:rsidR="00CC3131" w:rsidRDefault="00CC3131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In the case of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Islamic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Banks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there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are  a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number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of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insvestment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facilities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created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using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islamic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contractual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arrangements .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CC3131" w:rsidRDefault="00CC3131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Categories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of 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islamic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deposits</w:t>
      </w:r>
      <w:proofErr w:type="spellEnd"/>
    </w:p>
    <w:p w:rsidR="00AF0D78" w:rsidRPr="00AF0D78" w:rsidRDefault="00AF0D78" w:rsidP="00AF0D78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</w:pPr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1-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Current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Account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(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Al-Wadi'ah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)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Deposits</w:t>
      </w:r>
      <w:proofErr w:type="spellEnd"/>
    </w:p>
    <w:p w:rsidR="00AF0D78" w:rsidRPr="00AF0D78" w:rsidRDefault="00AF0D78" w:rsidP="00AF0D7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</w:pPr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A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safekeeping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contract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(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Wadi'ah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Yad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Dhamanah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)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where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bank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acts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as a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custodian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. No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guaranteed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returns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; 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bank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may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offer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optional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"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Hiba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" (gifts) but the value of 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deposit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is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guaranteed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. For quick and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easy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access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to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funds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and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facilitating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daily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transactions. 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account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holder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bears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r w:rsidRPr="00AF0D78">
        <w:rPr>
          <w:rFonts w:asciiTheme="majorBidi" w:eastAsia="Times New Roman" w:hAnsiTheme="majorBidi" w:cstheme="majorBidi"/>
          <w:color w:val="FF0000"/>
          <w:spacing w:val="2"/>
          <w:sz w:val="28"/>
          <w:szCs w:val="28"/>
          <w:lang w:eastAsia="fr-FR"/>
        </w:rPr>
        <w:t xml:space="preserve">no </w:t>
      </w:r>
      <w:proofErr w:type="spellStart"/>
      <w:r w:rsidRPr="00AF0D78">
        <w:rPr>
          <w:rFonts w:asciiTheme="majorBidi" w:eastAsia="Times New Roman" w:hAnsiTheme="majorBidi" w:cstheme="majorBidi"/>
          <w:color w:val="FF0000"/>
          <w:spacing w:val="2"/>
          <w:sz w:val="28"/>
          <w:szCs w:val="28"/>
          <w:lang w:eastAsia="fr-FR"/>
        </w:rPr>
        <w:t>risk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of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investment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losses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, but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there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is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a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credit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risk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on 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bank</w:t>
      </w:r>
      <w:proofErr w:type="spellEnd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. </w:t>
      </w:r>
    </w:p>
    <w:p w:rsidR="00AF0D78" w:rsidRPr="00AF0D78" w:rsidRDefault="00AF0D78" w:rsidP="00AF0D78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</w:pPr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2.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Saving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Account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(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Al-Wadi'ah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)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Deposits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 </w:t>
      </w:r>
    </w:p>
    <w:p w:rsidR="00AF0D78" w:rsidRPr="00AF0D78" w:rsidRDefault="00AF0D78" w:rsidP="00AF0D78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</w:pP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Similar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to 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current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account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,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it's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a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safekeeping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arrangement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where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customer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allows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bank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to use 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funds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for Sharia-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compliant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activities.No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profit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is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promised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, but 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bank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may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provide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gifts (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Hiba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)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at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its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discretion.For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safekeeping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with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optional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withdrawals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, and the principal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amount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is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guaranteed.The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bank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is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responsible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for the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safekeeping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 xml:space="preserve"> of the principal </w:t>
      </w:r>
      <w:proofErr w:type="spellStart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amount</w:t>
      </w:r>
      <w:proofErr w:type="spellEnd"/>
      <w:r w:rsidRPr="00AF0D78">
        <w:rPr>
          <w:rFonts w:asciiTheme="majorBidi" w:eastAsia="Times New Roman" w:hAnsiTheme="majorBidi" w:cstheme="majorBidi"/>
          <w:color w:val="001D35"/>
          <w:spacing w:val="2"/>
          <w:sz w:val="28"/>
          <w:szCs w:val="28"/>
          <w:lang w:eastAsia="fr-FR"/>
        </w:rPr>
        <w:t>.</w:t>
      </w:r>
    </w:p>
    <w:p w:rsidR="00AF0D78" w:rsidRPr="00AF0D78" w:rsidRDefault="00AF0D78" w:rsidP="00AF0D78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</w:pPr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3.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Saving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Account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(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Mudarabah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)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Deposits</w:t>
      </w:r>
      <w:proofErr w:type="spellEnd"/>
    </w:p>
    <w:p w:rsidR="00AF0D78" w:rsidRPr="00AF0D78" w:rsidRDefault="00AF0D78" w:rsidP="00AF0D7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</w:pPr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A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partnership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(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Mudarabah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)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where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depositor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provides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capital (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Rabb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al-Mal), and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bank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manages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funds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(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Mudarib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). Profit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shared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according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to a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pre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-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agreed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profit-sharing ratio,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which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disclosed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to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depositor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. For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customers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seeking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better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returns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on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their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idle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funds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for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specific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periods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. Profits and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losses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are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shared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between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depositor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and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bank</w:t>
      </w:r>
      <w:proofErr w:type="spellEnd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. </w:t>
      </w:r>
    </w:p>
    <w:p w:rsidR="00AF0D78" w:rsidRPr="00AF0D78" w:rsidRDefault="00AF0D78" w:rsidP="00AF0D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4.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Investment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Account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(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Unrestricted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Mudarabah</w:t>
      </w:r>
      <w:proofErr w:type="spellEnd"/>
      <w:r w:rsidRPr="00AF0D78">
        <w:rPr>
          <w:rFonts w:ascii="Arial" w:eastAsia="Times New Roman" w:hAnsi="Arial" w:cs="Arial"/>
          <w:color w:val="001D35"/>
          <w:sz w:val="24"/>
          <w:szCs w:val="24"/>
          <w:lang w:eastAsia="fr-FR"/>
        </w:rPr>
        <w:t>)</w:t>
      </w:r>
    </w:p>
    <w:p w:rsidR="00AF0D78" w:rsidRPr="00AF0D78" w:rsidRDefault="00AF0D78" w:rsidP="003E1EE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</w:pPr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A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Mudarabah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contract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where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bank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has full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discretion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on how to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invest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deposited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funds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.</w:t>
      </w:r>
      <w:r w:rsidRPr="003E1EEA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Profits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generated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are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shared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according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to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Mudarabah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agreement.</w:t>
      </w:r>
      <w:r w:rsidRPr="003E1EEA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Depositors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entrust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their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funds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to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bank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to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be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invested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in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various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lastRenderedPageBreak/>
        <w:t>Sharia-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compliant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avenues</w:t>
      </w:r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. </w:t>
      </w:r>
      <w:proofErr w:type="spellStart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Losses</w:t>
      </w:r>
      <w:proofErr w:type="spellEnd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 xml:space="preserve"> are borne by the </w:t>
      </w:r>
      <w:proofErr w:type="spellStart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investor</w:t>
      </w:r>
      <w:proofErr w:type="spellEnd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 xml:space="preserve"> (</w:t>
      </w:r>
      <w:proofErr w:type="spellStart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depositor</w:t>
      </w:r>
      <w:proofErr w:type="spellEnd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 xml:space="preserve">) </w:t>
      </w:r>
      <w:proofErr w:type="spellStart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unless</w:t>
      </w:r>
      <w:proofErr w:type="spellEnd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caused</w:t>
      </w:r>
      <w:proofErr w:type="spellEnd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 xml:space="preserve"> by the </w:t>
      </w:r>
      <w:proofErr w:type="spellStart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bank's</w:t>
      </w:r>
      <w:proofErr w:type="spellEnd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negligence</w:t>
      </w:r>
      <w:proofErr w:type="spellEnd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 xml:space="preserve"> or </w:t>
      </w:r>
      <w:proofErr w:type="spellStart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misconduct</w:t>
      </w:r>
      <w:proofErr w:type="spellEnd"/>
      <w:r w:rsidRPr="00AF0D78">
        <w:rPr>
          <w:rFonts w:ascii="Arial" w:eastAsia="Times New Roman" w:hAnsi="Arial" w:cs="Arial"/>
          <w:color w:val="001D35"/>
          <w:spacing w:val="2"/>
          <w:sz w:val="24"/>
          <w:szCs w:val="24"/>
          <w:lang w:eastAsia="fr-FR"/>
        </w:rPr>
        <w:t>. </w:t>
      </w:r>
    </w:p>
    <w:p w:rsidR="00AF0D78" w:rsidRPr="00AF0D78" w:rsidRDefault="00AF0D78" w:rsidP="00AF0D78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5.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Investment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Account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(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Restricted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Mudarabah</w:t>
      </w:r>
      <w:proofErr w:type="spellEnd"/>
      <w:r w:rsidRPr="00AF0D78">
        <w:rPr>
          <w:rFonts w:asciiTheme="majorBidi" w:eastAsia="Times New Roman" w:hAnsiTheme="majorBidi" w:cstheme="majorBidi"/>
          <w:b/>
          <w:bCs/>
          <w:color w:val="001D35"/>
          <w:sz w:val="28"/>
          <w:szCs w:val="28"/>
          <w:lang w:eastAsia="fr-FR"/>
        </w:rPr>
        <w:t>)</w:t>
      </w:r>
    </w:p>
    <w:p w:rsidR="00AF0D78" w:rsidRPr="00AF0D78" w:rsidRDefault="00AF0D78" w:rsidP="0018065B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</w:pPr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A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Mudarabah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contract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where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the use of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deposited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funds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restricted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to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specific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purposes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, locations, or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investment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strategies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.</w:t>
      </w:r>
      <w:r w:rsidRPr="00525852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Profits are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shared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based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on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agreed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Mudarabah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ratio, but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only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for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investments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that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comply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with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the restrictions.</w:t>
      </w:r>
      <w:r w:rsidRPr="00525852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For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investors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who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want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to direct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their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funds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to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specific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investment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areas.</w:t>
      </w:r>
      <w:r w:rsidRPr="00525852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Similar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to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unrestricted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Mudarabah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,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losses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are borne by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investor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unless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due to the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bank's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misconduct</w:t>
      </w:r>
      <w:proofErr w:type="spellEnd"/>
      <w:r w:rsidRPr="00AF0D78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.</w:t>
      </w:r>
      <w:r w:rsidRPr="00525852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</w:p>
    <w:p w:rsidR="00AF0D78" w:rsidRDefault="00AF0D78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0064C7" w:rsidRDefault="000064C7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F06EE5" w:rsidRDefault="00F06EE5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F06EE5" w:rsidRDefault="00F06EE5" w:rsidP="00F06EE5">
      <w:pPr>
        <w:spacing w:after="0" w:line="240" w:lineRule="auto"/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  <w:rtl/>
        </w:rPr>
      </w:pPr>
      <w:proofErr w:type="spellStart"/>
      <w:r w:rsidRPr="00277A65"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>Accounting</w:t>
      </w:r>
      <w:proofErr w:type="spellEnd"/>
      <w:r w:rsidRPr="00277A65"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277A65"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>treatment</w:t>
      </w:r>
      <w:proofErr w:type="spellEnd"/>
      <w:r w:rsidRPr="00277A65"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 xml:space="preserve"> of </w:t>
      </w:r>
      <w:proofErr w:type="spellStart"/>
      <w:r w:rsidRPr="00277A65"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>investmen</w:t>
      </w:r>
      <w:r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>t</w:t>
      </w:r>
      <w:proofErr w:type="spellEnd"/>
      <w:r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>accounts</w:t>
      </w:r>
      <w:proofErr w:type="spellEnd"/>
      <w:r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>according</w:t>
      </w:r>
      <w:proofErr w:type="spellEnd"/>
      <w:r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 xml:space="preserve"> to FAS</w:t>
      </w:r>
      <w:r w:rsidRPr="00277A65"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 xml:space="preserve"> 27</w:t>
      </w:r>
      <w:r>
        <w:rPr>
          <w:rStyle w:val="uv3um"/>
          <w:rFonts w:asciiTheme="majorBidi" w:hAnsiTheme="majorBidi" w:cstheme="majorBidi"/>
          <w:b/>
          <w:bCs/>
          <w:color w:val="001D35"/>
          <w:sz w:val="28"/>
          <w:szCs w:val="28"/>
          <w:shd w:val="clear" w:color="auto" w:fill="FFFFFF"/>
        </w:rPr>
        <w:t xml:space="preserve"> N°(AAOIFI)</w:t>
      </w:r>
    </w:p>
    <w:p w:rsidR="00F06EE5" w:rsidRPr="007A50EA" w:rsidRDefault="00F06EE5" w:rsidP="00F06EE5">
      <w:pPr>
        <w:spacing w:after="0" w:line="240" w:lineRule="auto"/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</w:pPr>
      <w:proofErr w:type="spellStart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>We</w:t>
      </w:r>
      <w:proofErr w:type="spellEnd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>will</w:t>
      </w:r>
      <w:proofErr w:type="spellEnd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>only</w:t>
      </w:r>
      <w:proofErr w:type="spellEnd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>discuss</w:t>
      </w:r>
      <w:proofErr w:type="spellEnd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 xml:space="preserve"> the </w:t>
      </w:r>
      <w:proofErr w:type="spellStart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>accounting</w:t>
      </w:r>
      <w:proofErr w:type="spellEnd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>treatment</w:t>
      </w:r>
      <w:proofErr w:type="spellEnd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 xml:space="preserve"> for </w:t>
      </w:r>
      <w:proofErr w:type="spellStart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>investment</w:t>
      </w:r>
      <w:proofErr w:type="spellEnd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>accounts</w:t>
      </w:r>
      <w:proofErr w:type="spellEnd"/>
      <w:r w:rsidRPr="007A50EA">
        <w:rPr>
          <w:rStyle w:val="uv3um"/>
          <w:rFonts w:asciiTheme="majorBidi" w:hAnsiTheme="majorBidi" w:cstheme="majorBidi"/>
          <w:color w:val="001D35"/>
          <w:sz w:val="28"/>
          <w:szCs w:val="28"/>
          <w:shd w:val="clear" w:color="auto" w:fill="FFFFFF"/>
        </w:rPr>
        <w:t>.</w:t>
      </w:r>
    </w:p>
    <w:p w:rsidR="00F06EE5" w:rsidRPr="007A50EA" w:rsidRDefault="00F06EE5" w:rsidP="00F06EE5">
      <w:pP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</w:pPr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This new standard replaces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two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previous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accounting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standards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related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to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investment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: Financial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Accounting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Standard No. 5, "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Disclosure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of the Basis for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Distributing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Profits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Between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Equity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Holders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and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Investment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Holders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," and Financial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Accounting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Standard No. 6, "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Rights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of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Investment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Holders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and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Similar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Interests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."</w:t>
      </w:r>
    </w:p>
    <w:p w:rsidR="00F06EE5" w:rsidRPr="007A50EA" w:rsidRDefault="00F06EE5" w:rsidP="00F06EE5">
      <w:pP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</w:pPr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This standard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covers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:</w:t>
      </w:r>
      <w: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Investment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based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on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participatory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financing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contracts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that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represent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"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investment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holders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'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rights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" as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defined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in the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conceptual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framework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; and</w:t>
      </w:r>
    </w:p>
    <w:p w:rsidR="00F06EE5" w:rsidRPr="007A50EA" w:rsidRDefault="00F06EE5" w:rsidP="00F06EE5">
      <w:pP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</w:pP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Investment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based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on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participatory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financing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contracts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invested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on a short-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term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basis (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day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week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month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)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with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other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financial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institutions,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such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as "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interbank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deposits</w:t>
      </w:r>
      <w:proofErr w:type="spellEnd"/>
      <w:r w:rsidRPr="007A50EA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."</w:t>
      </w:r>
    </w:p>
    <w:p w:rsidR="00F06EE5" w:rsidRPr="00A8678E" w:rsidRDefault="00F06EE5" w:rsidP="00F06EE5">
      <w:pP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</w:pPr>
      <w:proofErr w:type="spellStart"/>
      <w:r w:rsidRPr="00A8678E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Accounting</w:t>
      </w:r>
      <w:proofErr w:type="spellEnd"/>
      <w:r w:rsidRPr="00A8678E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treatment</w:t>
      </w:r>
      <w:proofErr w:type="spellEnd"/>
      <w:proofErr w:type="gram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:  This</w:t>
      </w:r>
      <w:proofErr w:type="gram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section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discusses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the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accounting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treatment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of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investment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accounts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in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Islamic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ban</w:t>
      </w:r>
      <w: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ks</w:t>
      </w:r>
      <w:proofErr w:type="spellEnd"/>
      <w: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, in accordance </w:t>
      </w:r>
      <w:proofErr w:type="spellStart"/>
      <w: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with</w:t>
      </w:r>
      <w:proofErr w:type="spellEnd"/>
      <w: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FAS N°</w:t>
      </w:r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27.</w:t>
      </w:r>
    </w:p>
    <w:p w:rsidR="00F06EE5" w:rsidRPr="00A8678E" w:rsidRDefault="00F06EE5" w:rsidP="00F06EE5">
      <w:pPr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1</w:t>
      </w:r>
      <w:r w:rsidRPr="00A8678E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- Initial recognition of </w:t>
      </w:r>
      <w:proofErr w:type="spellStart"/>
      <w:r w:rsidRPr="00A8678E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investment</w:t>
      </w:r>
      <w:proofErr w:type="spellEnd"/>
      <w:r w:rsidRPr="00A8678E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accounts</w:t>
      </w:r>
      <w:proofErr w:type="spellEnd"/>
      <w:r w:rsidRPr="00A8678E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:</w:t>
      </w:r>
    </w:p>
    <w:p w:rsidR="00F06EE5" w:rsidRPr="00A8678E" w:rsidRDefault="00F06EE5" w:rsidP="00F06EE5">
      <w:pP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</w:pPr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The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investment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is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initially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recognized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at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the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fair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value of the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consideration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received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on the date the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contract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becomes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effective. The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investment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account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is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presented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either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as an item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within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the balance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sheet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or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separately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(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see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>paragraphs</w:t>
      </w:r>
      <w:proofErr w:type="spellEnd"/>
      <w:r w:rsidRPr="00A8678E"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  <w:t xml:space="preserve"> 4 and 5).</w:t>
      </w:r>
    </w:p>
    <w:p w:rsidR="00F06EE5" w:rsidRDefault="00F06EE5" w:rsidP="00F06EE5">
      <w:pPr>
        <w:pStyle w:val="Paragraphedeliste"/>
        <w:numPr>
          <w:ilvl w:val="0"/>
          <w:numId w:val="4"/>
        </w:numPr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</w:pPr>
      <w:r w:rsidRPr="00950F25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In the case of a cash </w:t>
      </w:r>
      <w:proofErr w:type="spellStart"/>
      <w:r w:rsidRPr="00950F25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deposit</w:t>
      </w:r>
      <w:proofErr w:type="spellEnd"/>
    </w:p>
    <w:tbl>
      <w:tblPr>
        <w:tblStyle w:val="Grilledutableau"/>
        <w:tblW w:w="0" w:type="auto"/>
        <w:jc w:val="center"/>
        <w:tblInd w:w="495" w:type="dxa"/>
        <w:tblLook w:val="0420"/>
      </w:tblPr>
      <w:tblGrid>
        <w:gridCol w:w="5815"/>
        <w:gridCol w:w="1417"/>
        <w:gridCol w:w="1561"/>
      </w:tblGrid>
      <w:tr w:rsidR="00F06EE5" w:rsidRPr="008C590A" w:rsidTr="00FA3CE0">
        <w:trPr>
          <w:jc w:val="center"/>
        </w:trPr>
        <w:tc>
          <w:tcPr>
            <w:tcW w:w="5815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lastRenderedPageBreak/>
              <w:t>statement</w:t>
            </w:r>
            <w:proofErr w:type="spellEnd"/>
          </w:p>
        </w:tc>
        <w:tc>
          <w:tcPr>
            <w:tcW w:w="1417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Debit</w:t>
            </w:r>
            <w:proofErr w:type="spellEnd"/>
          </w:p>
        </w:tc>
        <w:tc>
          <w:tcPr>
            <w:tcW w:w="1561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Credit</w:t>
            </w:r>
            <w:proofErr w:type="spellEnd"/>
          </w:p>
        </w:tc>
      </w:tr>
      <w:tr w:rsidR="00F06EE5" w:rsidRPr="008C590A" w:rsidTr="00FA3CE0">
        <w:trPr>
          <w:jc w:val="center"/>
        </w:trPr>
        <w:tc>
          <w:tcPr>
            <w:tcW w:w="5815" w:type="dxa"/>
          </w:tcPr>
          <w:p w:rsidR="00F06EE5" w:rsidRPr="007954F2" w:rsidRDefault="00F06EE5" w:rsidP="00FA3CE0">
            <w:pP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Treasury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(collection 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method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)</w:t>
            </w:r>
          </w:p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Investment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accounts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restricted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unrestricted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F06EE5" w:rsidRPr="008C590A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xxxx</w:t>
            </w:r>
            <w:proofErr w:type="spellEnd"/>
          </w:p>
        </w:tc>
        <w:tc>
          <w:tcPr>
            <w:tcW w:w="1561" w:type="dxa"/>
          </w:tcPr>
          <w:p w:rsidR="00F06EE5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06EE5" w:rsidRPr="008C590A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xxxx</w:t>
            </w:r>
            <w:proofErr w:type="spellEnd"/>
          </w:p>
        </w:tc>
      </w:tr>
    </w:tbl>
    <w:p w:rsidR="00F06EE5" w:rsidRDefault="00F06EE5" w:rsidP="00F06EE5">
      <w:pPr>
        <w:pStyle w:val="Paragraphedeliste"/>
        <w:ind w:left="495"/>
        <w:rPr>
          <w:rStyle w:val="uv3um"/>
          <w:rFonts w:asciiTheme="majorBidi" w:hAnsiTheme="majorBidi" w:cstheme="majorBidi"/>
          <w:sz w:val="28"/>
          <w:szCs w:val="28"/>
          <w:shd w:val="clear" w:color="auto" w:fill="FFFFFF"/>
        </w:rPr>
      </w:pPr>
    </w:p>
    <w:p w:rsidR="00F06EE5" w:rsidRDefault="00F06EE5" w:rsidP="00F06EE5">
      <w:pPr>
        <w:pStyle w:val="Paragraphedeliste"/>
        <w:numPr>
          <w:ilvl w:val="0"/>
          <w:numId w:val="4"/>
        </w:numPr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7E7498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In case of </w:t>
      </w:r>
      <w:proofErr w:type="spellStart"/>
      <w:r w:rsidRPr="007E7498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payment</w:t>
      </w:r>
      <w:proofErr w:type="spellEnd"/>
      <w:r w:rsidRPr="007E7498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by check</w:t>
      </w:r>
    </w:p>
    <w:tbl>
      <w:tblPr>
        <w:tblStyle w:val="Grilledutableau"/>
        <w:tblW w:w="0" w:type="auto"/>
        <w:jc w:val="center"/>
        <w:tblInd w:w="495" w:type="dxa"/>
        <w:tblLook w:val="0420"/>
      </w:tblPr>
      <w:tblGrid>
        <w:gridCol w:w="5815"/>
        <w:gridCol w:w="1417"/>
        <w:gridCol w:w="1561"/>
      </w:tblGrid>
      <w:tr w:rsidR="00F06EE5" w:rsidRPr="008C590A" w:rsidTr="00FA3CE0">
        <w:trPr>
          <w:jc w:val="center"/>
        </w:trPr>
        <w:tc>
          <w:tcPr>
            <w:tcW w:w="5815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statement</w:t>
            </w:r>
            <w:proofErr w:type="spellEnd"/>
          </w:p>
        </w:tc>
        <w:tc>
          <w:tcPr>
            <w:tcW w:w="1417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Debit</w:t>
            </w:r>
            <w:proofErr w:type="spellEnd"/>
          </w:p>
        </w:tc>
        <w:tc>
          <w:tcPr>
            <w:tcW w:w="1561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Credit</w:t>
            </w:r>
            <w:proofErr w:type="spellEnd"/>
          </w:p>
        </w:tc>
      </w:tr>
      <w:tr w:rsidR="00F06EE5" w:rsidRPr="008C590A" w:rsidTr="00FA3CE0">
        <w:trPr>
          <w:jc w:val="center"/>
        </w:trPr>
        <w:tc>
          <w:tcPr>
            <w:tcW w:w="5815" w:type="dxa"/>
          </w:tcPr>
          <w:p w:rsidR="00F06EE5" w:rsidRPr="007954F2" w:rsidRDefault="00F06EE5" w:rsidP="00FA3CE0">
            <w:pP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r w:rsidRPr="007E749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Collection </w:t>
            </w:r>
            <w:proofErr w:type="spellStart"/>
            <w:r w:rsidRPr="007E749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draft</w:t>
            </w:r>
            <w:proofErr w:type="spellEnd"/>
            <w:r w:rsidRPr="007E749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E749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checks</w:t>
            </w:r>
            <w:proofErr w:type="spellEnd"/>
          </w:p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Investment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accounts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restricted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unrestricted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F06EE5" w:rsidRPr="008C590A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xxxx</w:t>
            </w:r>
            <w:proofErr w:type="spellEnd"/>
          </w:p>
        </w:tc>
        <w:tc>
          <w:tcPr>
            <w:tcW w:w="1561" w:type="dxa"/>
          </w:tcPr>
          <w:p w:rsidR="00F06EE5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06EE5" w:rsidRPr="008C590A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xxxx</w:t>
            </w:r>
            <w:proofErr w:type="spellEnd"/>
          </w:p>
        </w:tc>
      </w:tr>
    </w:tbl>
    <w:p w:rsidR="00F06EE5" w:rsidRDefault="00F06EE5" w:rsidP="00F06EE5">
      <w:pPr>
        <w:pStyle w:val="Paragraphedeliste"/>
        <w:ind w:left="495"/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</w:p>
    <w:p w:rsidR="00F06EE5" w:rsidRPr="007E7498" w:rsidRDefault="00F06EE5" w:rsidP="00F06EE5">
      <w:pPr>
        <w:pStyle w:val="Paragraphedeliste"/>
        <w:ind w:left="495"/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8F5BA2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C- In the case of </w:t>
      </w:r>
      <w:proofErr w:type="spellStart"/>
      <w:r w:rsidRPr="008F5BA2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deposits</w:t>
      </w:r>
      <w:proofErr w:type="spellEnd"/>
      <w:r w:rsidRPr="008F5BA2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made via </w:t>
      </w:r>
      <w:proofErr w:type="spellStart"/>
      <w:r w:rsidRPr="008F5BA2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transfer</w:t>
      </w:r>
      <w:proofErr w:type="spellEnd"/>
      <w:r w:rsidRPr="008F5BA2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F5BA2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from</w:t>
      </w:r>
      <w:proofErr w:type="spellEnd"/>
      <w:r w:rsidRPr="008F5BA2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F5BA2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current</w:t>
      </w:r>
      <w:proofErr w:type="spellEnd"/>
      <w:r w:rsidRPr="008F5BA2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F5BA2">
        <w:rPr>
          <w:rStyle w:val="uv3um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accounts</w:t>
      </w:r>
      <w:proofErr w:type="spellEnd"/>
    </w:p>
    <w:tbl>
      <w:tblPr>
        <w:tblStyle w:val="Grilledutableau"/>
        <w:tblW w:w="0" w:type="auto"/>
        <w:jc w:val="center"/>
        <w:tblInd w:w="495" w:type="dxa"/>
        <w:tblLook w:val="0420"/>
      </w:tblPr>
      <w:tblGrid>
        <w:gridCol w:w="5815"/>
        <w:gridCol w:w="1417"/>
        <w:gridCol w:w="1561"/>
      </w:tblGrid>
      <w:tr w:rsidR="00F06EE5" w:rsidRPr="008C590A" w:rsidTr="00FA3CE0">
        <w:trPr>
          <w:jc w:val="center"/>
        </w:trPr>
        <w:tc>
          <w:tcPr>
            <w:tcW w:w="5815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statement</w:t>
            </w:r>
            <w:proofErr w:type="spellEnd"/>
          </w:p>
        </w:tc>
        <w:tc>
          <w:tcPr>
            <w:tcW w:w="1417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Debit</w:t>
            </w:r>
            <w:proofErr w:type="spellEnd"/>
          </w:p>
        </w:tc>
        <w:tc>
          <w:tcPr>
            <w:tcW w:w="1561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Credit</w:t>
            </w:r>
            <w:proofErr w:type="spellEnd"/>
          </w:p>
        </w:tc>
      </w:tr>
      <w:tr w:rsidR="00F06EE5" w:rsidRPr="008C590A" w:rsidTr="00FA3CE0">
        <w:trPr>
          <w:jc w:val="center"/>
        </w:trPr>
        <w:tc>
          <w:tcPr>
            <w:tcW w:w="5815" w:type="dxa"/>
          </w:tcPr>
          <w:p w:rsidR="00F06EE5" w:rsidRDefault="00F06EE5" w:rsidP="00FA3CE0">
            <w:pP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F5BA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Current</w:t>
            </w:r>
            <w:proofErr w:type="spellEnd"/>
            <w:r w:rsidRPr="008F5BA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F5BA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accounts</w:t>
            </w:r>
            <w:proofErr w:type="spellEnd"/>
          </w:p>
          <w:p w:rsidR="00F06EE5" w:rsidRPr="008C590A" w:rsidRDefault="00F06EE5" w:rsidP="00FA3CE0">
            <w:pPr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Investment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accounts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restricted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unrestricted</w:t>
            </w:r>
            <w:proofErr w:type="spellEnd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F06EE5" w:rsidRPr="008C590A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xxxx</w:t>
            </w:r>
            <w:proofErr w:type="spellEnd"/>
          </w:p>
        </w:tc>
        <w:tc>
          <w:tcPr>
            <w:tcW w:w="1561" w:type="dxa"/>
          </w:tcPr>
          <w:p w:rsidR="00F06EE5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06EE5" w:rsidRPr="008C590A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xxxx</w:t>
            </w:r>
            <w:proofErr w:type="spellEnd"/>
          </w:p>
        </w:tc>
      </w:tr>
    </w:tbl>
    <w:p w:rsidR="00F06EE5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6EE5" w:rsidRPr="00814304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1430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</w:t>
      </w:r>
      <w:r w:rsidRPr="008143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. </w:t>
      </w:r>
      <w:proofErr w:type="spellStart"/>
      <w:r w:rsidRPr="008143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Subsequent</w:t>
      </w:r>
      <w:proofErr w:type="spellEnd"/>
      <w:r w:rsidRPr="008143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recognition of </w:t>
      </w:r>
      <w:proofErr w:type="spellStart"/>
      <w:r w:rsidRPr="008143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investment</w:t>
      </w:r>
      <w:proofErr w:type="spellEnd"/>
      <w:r w:rsidRPr="008143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accounts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F06EE5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Subsequent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recognition of the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account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should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include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undistributed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profits, profit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equalization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reserves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or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any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other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reserves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established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for the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benefit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the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account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holders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less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any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losses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on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assets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that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should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borne by the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account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holders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. (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Paragraph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14)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AD7429" w:rsidRDefault="00AD7429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F06EE5" w:rsidRPr="00814304" w:rsidRDefault="00F06EE5" w:rsidP="00F06EE5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proofErr w:type="spellStart"/>
      <w:r w:rsidRPr="008143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Unpaid</w:t>
      </w:r>
      <w:proofErr w:type="spellEnd"/>
      <w:r w:rsidRPr="008143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or </w:t>
      </w:r>
      <w:proofErr w:type="spellStart"/>
      <w:r w:rsidRPr="008143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undistributed</w:t>
      </w:r>
      <w:proofErr w:type="spellEnd"/>
      <w:r w:rsidRPr="0081430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profits or gains</w:t>
      </w:r>
    </w:p>
    <w:p w:rsidR="00F06EE5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After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allocating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financial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institution's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broker's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share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these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profits or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</w:p>
    <w:p w:rsidR="00F06EE5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</w:t>
      </w:r>
      <w:proofErr w:type="gram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gains</w:t>
      </w:r>
      <w:proofErr w:type="gram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must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set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aside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added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the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account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and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should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not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</w:p>
    <w:p w:rsidR="00F06EE5" w:rsidRDefault="00F06EE5" w:rsidP="00F06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proofErr w:type="gram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proofErr w:type="spellEnd"/>
      <w:proofErr w:type="gram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mixed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with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retained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earnings</w:t>
      </w:r>
      <w:proofErr w:type="spellEnd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longing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owners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equity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).</w:t>
      </w:r>
    </w:p>
    <w:p w:rsidR="00F06EE5" w:rsidRDefault="00AD7429" w:rsidP="00AD74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</w:t>
      </w:r>
      <w:r w:rsidR="00F06EE5"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(</w:t>
      </w:r>
      <w:proofErr w:type="spellStart"/>
      <w:r w:rsidR="00F06EE5"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Paragraph</w:t>
      </w:r>
      <w:proofErr w:type="spellEnd"/>
      <w:r w:rsidR="00F06EE5"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15)  The </w:t>
      </w:r>
      <w:proofErr w:type="spellStart"/>
      <w:r w:rsidR="00F06EE5"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following</w:t>
      </w:r>
      <w:proofErr w:type="spellEnd"/>
      <w:r w:rsidR="00F06EE5"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06EE5"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procedure</w:t>
      </w:r>
      <w:proofErr w:type="spellEnd"/>
      <w:r w:rsidR="00F06EE5"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F06EE5"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applies</w:t>
      </w:r>
      <w:proofErr w:type="spellEnd"/>
      <w:r w:rsidR="00F06EE5" w:rsidRPr="00814304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</w:p>
    <w:p w:rsidR="00F06EE5" w:rsidRPr="00814304" w:rsidRDefault="00F06EE5" w:rsidP="00F06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F06EE5" w:rsidRPr="00814304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tbl>
      <w:tblPr>
        <w:tblStyle w:val="Grilledutableau"/>
        <w:tblW w:w="0" w:type="auto"/>
        <w:jc w:val="center"/>
        <w:tblInd w:w="495" w:type="dxa"/>
        <w:tblLook w:val="0420"/>
      </w:tblPr>
      <w:tblGrid>
        <w:gridCol w:w="5815"/>
        <w:gridCol w:w="1417"/>
        <w:gridCol w:w="1561"/>
      </w:tblGrid>
      <w:tr w:rsidR="00F06EE5" w:rsidRPr="008C590A" w:rsidTr="00FA3CE0">
        <w:trPr>
          <w:jc w:val="center"/>
        </w:trPr>
        <w:tc>
          <w:tcPr>
            <w:tcW w:w="5815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statement</w:t>
            </w:r>
            <w:proofErr w:type="spellEnd"/>
          </w:p>
        </w:tc>
        <w:tc>
          <w:tcPr>
            <w:tcW w:w="1417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Debit</w:t>
            </w:r>
            <w:proofErr w:type="spellEnd"/>
          </w:p>
        </w:tc>
        <w:tc>
          <w:tcPr>
            <w:tcW w:w="1561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Credit</w:t>
            </w:r>
            <w:proofErr w:type="spellEnd"/>
          </w:p>
        </w:tc>
      </w:tr>
      <w:tr w:rsidR="00F06EE5" w:rsidRPr="008C590A" w:rsidTr="00FA3CE0">
        <w:trPr>
          <w:jc w:val="center"/>
        </w:trPr>
        <w:tc>
          <w:tcPr>
            <w:tcW w:w="5815" w:type="dxa"/>
          </w:tcPr>
          <w:p w:rsidR="00F06EE5" w:rsidRDefault="00F06EE5" w:rsidP="00FA3CE0">
            <w:pP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r w:rsidRPr="00B07F85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Profits </w:t>
            </w:r>
            <w:proofErr w:type="spellStart"/>
            <w:r w:rsidRPr="00B07F85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from</w:t>
            </w:r>
            <w:proofErr w:type="spellEnd"/>
            <w:r w:rsidRPr="00B07F85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07F85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investment</w:t>
            </w:r>
            <w:proofErr w:type="spellEnd"/>
            <w:r w:rsidRPr="00B07F85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07F85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accounts</w:t>
            </w:r>
            <w:proofErr w:type="spellEnd"/>
          </w:p>
          <w:p w:rsidR="00F06EE5" w:rsidRPr="008C590A" w:rsidRDefault="00F06EE5" w:rsidP="00FA3CE0">
            <w:pPr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Investment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accounts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restricted</w:t>
            </w:r>
            <w:proofErr w:type="spellEnd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7954F2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unrestricted</w:t>
            </w:r>
            <w:proofErr w:type="spellEnd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F06EE5" w:rsidRPr="008C590A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xxxx</w:t>
            </w:r>
            <w:proofErr w:type="spellEnd"/>
          </w:p>
        </w:tc>
        <w:tc>
          <w:tcPr>
            <w:tcW w:w="1561" w:type="dxa"/>
          </w:tcPr>
          <w:p w:rsidR="00F06EE5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06EE5" w:rsidRPr="008C590A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xxxx</w:t>
            </w:r>
            <w:proofErr w:type="spellEnd"/>
          </w:p>
        </w:tc>
      </w:tr>
    </w:tbl>
    <w:p w:rsidR="00F06EE5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6EE5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6EE5" w:rsidRPr="001B2AEB" w:rsidRDefault="00F06EE5" w:rsidP="00F06EE5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Any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loss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incurred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from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transactions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within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joint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financing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should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first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deducted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from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any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undistributed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profits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generated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by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If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these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profits are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insufficient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loss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should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deducted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from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bank's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share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unrestricted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accounts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'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shares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in the joint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financing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according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each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party's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contribution to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. (</w:t>
      </w:r>
      <w:proofErr w:type="spellStart"/>
      <w:r w:rsidRPr="001B2AE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Paragraph</w:t>
      </w:r>
      <w:proofErr w:type="spellEnd"/>
      <w:r w:rsidRPr="001B2AE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19</w:t>
      </w:r>
      <w:proofErr w:type="gram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) .</w:t>
      </w:r>
      <w:proofErr w:type="gramEnd"/>
    </w:p>
    <w:p w:rsidR="00F06EE5" w:rsidRPr="001B2AEB" w:rsidRDefault="00F06EE5" w:rsidP="00F06EE5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Sharia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Supervisory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Board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stipulates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that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any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loss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resulting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from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mismanagement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or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negligence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by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bank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should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deducted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from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bank's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share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the profits of the joint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financing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If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bank's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share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profits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insufficient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loss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should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covered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by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bank's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equity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contribution to the joint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if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any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and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this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amount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will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then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considered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liability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bank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. (</w:t>
      </w:r>
      <w:proofErr w:type="spellStart"/>
      <w:r w:rsidRPr="001B2AE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Paragraph</w:t>
      </w:r>
      <w:proofErr w:type="spellEnd"/>
      <w:r w:rsidRPr="001B2AE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20)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.</w:t>
      </w:r>
    </w:p>
    <w:p w:rsidR="00F06EE5" w:rsidRPr="001B2AEB" w:rsidRDefault="00F06EE5" w:rsidP="00F06EE5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f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bank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incurs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losses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from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investing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funds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speculative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account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holders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these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accounts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will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debited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with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their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share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losses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unless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there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adequate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provision for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investment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losses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or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existing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provision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insufficient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cover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losses</w:t>
      </w:r>
      <w:proofErr w:type="spellEnd"/>
      <w:r w:rsidRPr="001B2AE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F06EE5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</w:p>
    <w:tbl>
      <w:tblPr>
        <w:tblStyle w:val="Grilledutableau"/>
        <w:tblW w:w="0" w:type="auto"/>
        <w:jc w:val="center"/>
        <w:tblInd w:w="495" w:type="dxa"/>
        <w:tblLook w:val="0420"/>
      </w:tblPr>
      <w:tblGrid>
        <w:gridCol w:w="5815"/>
        <w:gridCol w:w="1417"/>
        <w:gridCol w:w="1561"/>
      </w:tblGrid>
      <w:tr w:rsidR="00F06EE5" w:rsidRPr="008C590A" w:rsidTr="00FA3CE0">
        <w:trPr>
          <w:jc w:val="center"/>
        </w:trPr>
        <w:tc>
          <w:tcPr>
            <w:tcW w:w="5815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statement</w:t>
            </w:r>
            <w:proofErr w:type="spellEnd"/>
          </w:p>
        </w:tc>
        <w:tc>
          <w:tcPr>
            <w:tcW w:w="1417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Debit</w:t>
            </w:r>
            <w:proofErr w:type="spellEnd"/>
          </w:p>
        </w:tc>
        <w:tc>
          <w:tcPr>
            <w:tcW w:w="1561" w:type="dxa"/>
          </w:tcPr>
          <w:p w:rsidR="00F06EE5" w:rsidRPr="008C590A" w:rsidRDefault="00F06EE5" w:rsidP="00FA3CE0">
            <w:pPr>
              <w:pStyle w:val="Paragraphedeliste"/>
              <w:ind w:left="0"/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8C590A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Credit</w:t>
            </w:r>
            <w:proofErr w:type="spellEnd"/>
          </w:p>
        </w:tc>
      </w:tr>
      <w:tr w:rsidR="00F06EE5" w:rsidRPr="008C590A" w:rsidTr="00FA3CE0">
        <w:trPr>
          <w:jc w:val="center"/>
        </w:trPr>
        <w:tc>
          <w:tcPr>
            <w:tcW w:w="5815" w:type="dxa"/>
          </w:tcPr>
          <w:p w:rsidR="00F06EE5" w:rsidRPr="00F31DB8" w:rsidRDefault="00F06EE5" w:rsidP="00FA3CE0">
            <w:pP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F31DB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Investment</w:t>
            </w:r>
            <w:proofErr w:type="spellEnd"/>
            <w:r w:rsidRPr="00F31DB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1DB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accounts</w:t>
            </w:r>
            <w:proofErr w:type="spellEnd"/>
          </w:p>
          <w:p w:rsidR="00F06EE5" w:rsidRPr="008C590A" w:rsidRDefault="00F06EE5" w:rsidP="00FA3CE0">
            <w:pPr>
              <w:jc w:val="center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r w:rsidRPr="00F31DB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profits (</w:t>
            </w:r>
            <w:proofErr w:type="spellStart"/>
            <w:r w:rsidRPr="00F31DB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losses</w:t>
            </w:r>
            <w:proofErr w:type="spellEnd"/>
            <w:r w:rsidRPr="00F31DB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)</w:t>
            </w:r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/</w:t>
            </w:r>
            <w:r w:rsidRPr="00F31DB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1DB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Investment</w:t>
            </w:r>
            <w:proofErr w:type="spellEnd"/>
            <w:r w:rsidRPr="00F31DB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31DB8"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account</w:t>
            </w:r>
            <w:proofErr w:type="spellEnd"/>
          </w:p>
        </w:tc>
        <w:tc>
          <w:tcPr>
            <w:tcW w:w="1417" w:type="dxa"/>
          </w:tcPr>
          <w:p w:rsidR="00F06EE5" w:rsidRPr="008C590A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xxxx</w:t>
            </w:r>
            <w:proofErr w:type="spellEnd"/>
          </w:p>
        </w:tc>
        <w:tc>
          <w:tcPr>
            <w:tcW w:w="1561" w:type="dxa"/>
          </w:tcPr>
          <w:p w:rsidR="00F06EE5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06EE5" w:rsidRPr="008C590A" w:rsidRDefault="00F06EE5" w:rsidP="00FA3CE0">
            <w:pPr>
              <w:pStyle w:val="Paragraphedeliste"/>
              <w:ind w:left="0"/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uv3um"/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xxxx</w:t>
            </w:r>
            <w:proofErr w:type="spellEnd"/>
          </w:p>
        </w:tc>
      </w:tr>
    </w:tbl>
    <w:p w:rsidR="00F06EE5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</w:p>
    <w:p w:rsidR="00F06EE5" w:rsidRPr="00D532EF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How to </w:t>
      </w:r>
      <w:proofErr w:type="spellStart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calculate</w:t>
      </w:r>
      <w:proofErr w:type="spellEnd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investment</w:t>
      </w:r>
      <w:proofErr w:type="spellEnd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account</w:t>
      </w:r>
      <w:proofErr w:type="spellEnd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profits</w:t>
      </w:r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:</w:t>
      </w:r>
    </w:p>
    <w:p w:rsidR="00F06EE5" w:rsidRPr="00D532EF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The points-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based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method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used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to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calculate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the distribution of profits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among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participants in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general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investment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accounts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. This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method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takes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into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account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each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investor's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contribution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amount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and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duration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their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investment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(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currency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unit x time unit). 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calculation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based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on the total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amount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invested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and the total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duration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regardless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of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frequency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deposits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and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withdrawals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or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varying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amounts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each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transaction.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Account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holders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are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deemed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to have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implicitly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agreed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to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method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calculation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. There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no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religious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objection to setting an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expected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rate of return;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however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expected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rate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not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binding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if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not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achieved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even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if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based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on a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feasibility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study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.  Profits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cannot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distributed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definitively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based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on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expected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return;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rather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distribution must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based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on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actual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realized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profit,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whether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calculated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precisely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or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estimated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.</w:t>
      </w:r>
    </w:p>
    <w:p w:rsidR="00F06EE5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</w:p>
    <w:p w:rsidR="00F06EE5" w:rsidRPr="00D532EF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</w:pPr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The </w:t>
      </w:r>
      <w:proofErr w:type="spellStart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ruling</w:t>
      </w:r>
      <w:proofErr w:type="spellEnd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on </w:t>
      </w:r>
      <w:proofErr w:type="spellStart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using</w:t>
      </w:r>
      <w:proofErr w:type="spellEnd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the "</w:t>
      </w:r>
      <w:proofErr w:type="spellStart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periodic</w:t>
      </w:r>
      <w:proofErr w:type="spellEnd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balance" </w:t>
      </w:r>
      <w:proofErr w:type="spellStart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method</w:t>
      </w:r>
      <w:proofErr w:type="spellEnd"/>
      <w:r w:rsidRPr="00D532EF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:</w:t>
      </w:r>
    </w:p>
    <w:p w:rsidR="00F06EE5" w:rsidRPr="00D532EF" w:rsidRDefault="00F06EE5" w:rsidP="00F06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According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to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general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consensus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Islamic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scholars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periodic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balance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method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contains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elements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uncertainty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that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invalidate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such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investment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agreements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. This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because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due to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continuous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nature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withdrawals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and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deposits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and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practical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impossibility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accurately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calculating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the exact balance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any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given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time,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becomes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impossible to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definitively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determine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who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entitled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to the profits.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Furthermore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banks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often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use a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month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as the time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period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for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calculating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periodic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balance,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which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means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that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days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preceding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start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of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calculation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period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are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effectively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disregarded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. 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However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given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practical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difficulties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calculating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profits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based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on an exact balance, and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considering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fact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that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investors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generally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agree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to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accept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 certain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degree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flexibility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in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calculation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method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and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given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widespread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practice of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using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method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scholars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have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concluded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that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this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uncertainty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can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be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overlooked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provided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that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efforts are made to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minimize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it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as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much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as possible by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using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shorter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time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period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or a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smaller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monetary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unit for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calculating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the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periodic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balance,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thus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ensuring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that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no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one's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rights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are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unfairly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 xml:space="preserve"> </w:t>
      </w:r>
      <w:proofErr w:type="spellStart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prejudiced</w:t>
      </w:r>
      <w:proofErr w:type="spellEnd"/>
      <w:r w:rsidRPr="00D532EF"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  <w:t>.</w:t>
      </w:r>
    </w:p>
    <w:p w:rsidR="00F06EE5" w:rsidRDefault="00F06EE5" w:rsidP="00F06EE5">
      <w:pPr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</w:p>
    <w:p w:rsidR="00F06EE5" w:rsidRDefault="00F06EE5" w:rsidP="00F06EE5">
      <w:pPr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</w:p>
    <w:p w:rsidR="00F06EE5" w:rsidRDefault="00F06EE5" w:rsidP="00F06EE5">
      <w:pPr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</w:p>
    <w:p w:rsidR="00F06EE5" w:rsidRDefault="00F06EE5" w:rsidP="00F06EE5">
      <w:pPr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</w:p>
    <w:p w:rsidR="00F06EE5" w:rsidRDefault="00F06EE5" w:rsidP="00F06EE5">
      <w:pPr>
        <w:rPr>
          <w:rFonts w:ascii="Times New Roman" w:eastAsia="Times New Roman" w:hAnsi="Times New Roman" w:cs="Times New Roman"/>
          <w:sz w:val="28"/>
          <w:szCs w:val="28"/>
          <w:lang w:eastAsia="fr-FR" w:bidi="ar-DZ"/>
        </w:rPr>
      </w:pPr>
    </w:p>
    <w:p w:rsidR="00F06EE5" w:rsidRDefault="00F06EE5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F06EE5" w:rsidRDefault="00F06EE5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F06EE5" w:rsidRDefault="00F06EE5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F06EE5" w:rsidRDefault="00F06EE5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F06EE5" w:rsidRDefault="00F06EE5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</w:p>
    <w:p w:rsidR="000064C7" w:rsidRPr="00CC3131" w:rsidRDefault="00F06EE5" w:rsidP="00CC313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Further</w:t>
      </w:r>
      <w:proofErr w:type="spellEnd"/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readings</w:t>
      </w:r>
      <w:proofErr w:type="spellEnd"/>
    </w:p>
    <w:p w:rsidR="003E24D0" w:rsidRPr="00ED77C7" w:rsidRDefault="003E24D0" w:rsidP="003E24D0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  <w:lang w:eastAsia="fr-FR"/>
        </w:rPr>
      </w:pPr>
      <w:r w:rsidRPr="00ED77C7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  <w:lang w:eastAsia="fr-FR"/>
        </w:rPr>
        <w:t xml:space="preserve">Key </w:t>
      </w:r>
      <w:proofErr w:type="spellStart"/>
      <w:r w:rsidRPr="00ED77C7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  <w:lang w:eastAsia="fr-FR"/>
        </w:rPr>
        <w:t>Accounting</w:t>
      </w:r>
      <w:proofErr w:type="spellEnd"/>
      <w:r w:rsidRPr="00ED77C7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  <w:lang w:eastAsia="fr-FR"/>
        </w:rPr>
        <w:t>Principles</w:t>
      </w:r>
      <w:proofErr w:type="spellEnd"/>
      <w:r w:rsidRPr="00ED77C7">
        <w:rPr>
          <w:rFonts w:asciiTheme="majorBidi" w:eastAsia="Times New Roman" w:hAnsiTheme="majorBidi" w:cstheme="majorBidi"/>
          <w:b/>
          <w:bCs/>
          <w:sz w:val="28"/>
          <w:szCs w:val="28"/>
          <w:highlight w:val="yellow"/>
          <w:lang w:eastAsia="fr-FR"/>
        </w:rPr>
        <w:t xml:space="preserve"> and Concepts</w:t>
      </w:r>
    </w:p>
    <w:p w:rsidR="003E24D0" w:rsidRPr="00CC3131" w:rsidRDefault="003E24D0" w:rsidP="003E24D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</w:pPr>
      <w:hyperlink r:id="rId7" w:tgtFrame="_blank" w:history="1">
        <w:proofErr w:type="spellStart"/>
        <w:r w:rsidRPr="00CC3131">
          <w:rPr>
            <w:rFonts w:asciiTheme="majorBidi" w:eastAsia="Times New Roman" w:hAnsiTheme="majorBidi" w:cstheme="majorBidi"/>
            <w:b/>
            <w:bCs/>
            <w:sz w:val="28"/>
            <w:szCs w:val="28"/>
            <w:u w:val="single"/>
            <w:lang w:eastAsia="fr-FR"/>
          </w:rPr>
          <w:t>Shariah</w:t>
        </w:r>
        <w:proofErr w:type="spellEnd"/>
      </w:hyperlink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 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Compliance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 </w:t>
      </w:r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core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principle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to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ensure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all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financial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transactions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align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with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Islamic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law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,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avoiding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interest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and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other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prohibited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elements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.</w:t>
      </w:r>
      <w:r w:rsidRPr="00CC3131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</w:p>
    <w:p w:rsidR="003E24D0" w:rsidRPr="00ED77C7" w:rsidRDefault="003E24D0" w:rsidP="003E24D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</w:pPr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Profit-Sharing (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Mudarabah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/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Musharakah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):</w:t>
      </w:r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 </w:t>
      </w:r>
    </w:p>
    <w:p w:rsidR="003E24D0" w:rsidRPr="00CC3131" w:rsidRDefault="003E24D0" w:rsidP="003E24D0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</w:pPr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In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investment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accounts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, 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bank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and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depositor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(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investor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)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share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profits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from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underlying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assets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according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to an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agreed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-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upon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ratio,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making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depositor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an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investor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, not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just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lender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.</w:t>
      </w:r>
      <w:r w:rsidRPr="00CC3131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</w:p>
    <w:p w:rsidR="003E24D0" w:rsidRPr="00ED77C7" w:rsidRDefault="003E24D0" w:rsidP="003E24D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</w:pP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Fee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-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Based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Services (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Wakalah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):</w:t>
      </w:r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 </w:t>
      </w:r>
    </w:p>
    <w:p w:rsidR="003E24D0" w:rsidRPr="00CC3131" w:rsidRDefault="003E24D0" w:rsidP="003E24D0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</w:pPr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For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Wakalah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agreements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, 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bank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acts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as an agent (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Wakeel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),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earning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fee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for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managing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funds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,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while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profits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from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investment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are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returned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to 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customer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after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fees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.</w:t>
      </w:r>
      <w:r w:rsidRPr="00CC3131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</w:p>
    <w:p w:rsidR="003E24D0" w:rsidRPr="00ED77C7" w:rsidRDefault="003E24D0" w:rsidP="003E24D0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</w:pP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Interest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-Free 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Loans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(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fldChar w:fldCharType="begin"/>
      </w:r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instrText xml:space="preserve"> HYPERLINK "https://www.google.com/search?sca_esv=c0c5f8a9bbcfecc7&amp;cs=0&amp;sxsrf=AE3TifPCtb3bY-GchMLW27xVUNpnRT_Q_Q%3A1759469923454&amp;q=Qard&amp;sa=X&amp;ved=2ahUKEwjD-PudqIeQAxVUUqQEHZdQD4sQxccNegQIHhAB&amp;mstk=AUtExfDGKZ1g3kGdJWRLAvWewM5kATj5sLjuUcTEVhI-nQ-oOa2bX4bYMswInu_51_S8wFwOKv1-nM8Rws6fdNmTyBUH6EQcaC3LNJ1qiqSmM370UsxdvcFqaC0OxHnE2gN0EbNMTW0TBHRmm4s8VioWzgqeSkKXCz1iYqfX7a6AHZ75zPVrKmWKRDal0an-aS-7ildQu5eRnipPCfvQ8C5rDVFrS1ysVyhjelzU4g05Be60t4OI8PpSclPvZnRP5Tq9YGDCQDBO9OCw2SKunEXXulXj&amp;csui=3" \t "_blank" </w:instrText>
      </w:r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fldChar w:fldCharType="separate"/>
      </w:r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  <w:t>Qard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fldChar w:fldCharType="end"/>
      </w:r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):</w:t>
      </w:r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 </w:t>
      </w:r>
    </w:p>
    <w:p w:rsidR="003E24D0" w:rsidRPr="00CC3131" w:rsidRDefault="003E24D0" w:rsidP="003E24D0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</w:pP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Conventional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deposit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accounts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are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often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treated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as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interest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-free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loans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from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customer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to 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bank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(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qard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),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which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bank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uses to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fund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operations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.</w:t>
      </w:r>
      <w:r w:rsidRPr="00CC3131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</w:p>
    <w:p w:rsidR="003E24D0" w:rsidRPr="00ED77C7" w:rsidRDefault="003E24D0" w:rsidP="003E24D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</w:pPr>
      <w:hyperlink r:id="rId8" w:tgtFrame="_blank" w:history="1">
        <w:r w:rsidRPr="00CC3131">
          <w:rPr>
            <w:rFonts w:asciiTheme="majorBidi" w:eastAsia="Times New Roman" w:hAnsiTheme="majorBidi" w:cstheme="majorBidi"/>
            <w:b/>
            <w:bCs/>
            <w:sz w:val="28"/>
            <w:szCs w:val="28"/>
            <w:u w:val="single"/>
            <w:lang w:eastAsia="fr-FR"/>
          </w:rPr>
          <w:t xml:space="preserve">Profit </w:t>
        </w:r>
        <w:proofErr w:type="spellStart"/>
        <w:r w:rsidRPr="00CC3131">
          <w:rPr>
            <w:rFonts w:asciiTheme="majorBidi" w:eastAsia="Times New Roman" w:hAnsiTheme="majorBidi" w:cstheme="majorBidi"/>
            <w:b/>
            <w:bCs/>
            <w:sz w:val="28"/>
            <w:szCs w:val="28"/>
            <w:u w:val="single"/>
            <w:lang w:eastAsia="fr-FR"/>
          </w:rPr>
          <w:t>Equalization</w:t>
        </w:r>
        <w:proofErr w:type="spellEnd"/>
        <w:r w:rsidRPr="00CC3131">
          <w:rPr>
            <w:rFonts w:asciiTheme="majorBidi" w:eastAsia="Times New Roman" w:hAnsiTheme="majorBidi" w:cstheme="majorBidi"/>
            <w:b/>
            <w:bCs/>
            <w:sz w:val="28"/>
            <w:szCs w:val="28"/>
            <w:u w:val="single"/>
            <w:lang w:eastAsia="fr-FR"/>
          </w:rPr>
          <w:t xml:space="preserve"> </w:t>
        </w:r>
        <w:proofErr w:type="spellStart"/>
        <w:r w:rsidRPr="00CC3131">
          <w:rPr>
            <w:rFonts w:asciiTheme="majorBidi" w:eastAsia="Times New Roman" w:hAnsiTheme="majorBidi" w:cstheme="majorBidi"/>
            <w:b/>
            <w:bCs/>
            <w:sz w:val="28"/>
            <w:szCs w:val="28"/>
            <w:u w:val="single"/>
            <w:lang w:eastAsia="fr-FR"/>
          </w:rPr>
          <w:t>Reserves</w:t>
        </w:r>
        <w:proofErr w:type="spellEnd"/>
      </w:hyperlink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 </w:t>
      </w:r>
    </w:p>
    <w:p w:rsidR="003E24D0" w:rsidRPr="00CC3131" w:rsidRDefault="003E24D0" w:rsidP="003E24D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</w:pPr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A portion of a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depositor's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profits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may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be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held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in a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reserve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to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smooth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out future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returns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and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protect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against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losses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,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especially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in participation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accounts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.</w:t>
      </w:r>
      <w:r w:rsidRPr="00CC3131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</w:p>
    <w:p w:rsidR="003E24D0" w:rsidRPr="00ED77C7" w:rsidRDefault="003E24D0" w:rsidP="003E24D0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</w:pPr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 xml:space="preserve">How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Accounts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Differ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from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Conventional</w:t>
      </w:r>
      <w:proofErr w:type="spellEnd"/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Banking</w:t>
      </w:r>
      <w:proofErr w:type="spellEnd"/>
    </w:p>
    <w:p w:rsidR="003E24D0" w:rsidRPr="00CC3131" w:rsidRDefault="003E24D0" w:rsidP="003E24D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</w:pP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Returns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vs. 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Interest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 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Islamic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accounts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earn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returns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through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profit-sharing or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fees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, not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fixed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interest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rates.</w:t>
      </w:r>
      <w:r w:rsidRPr="00CC3131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</w:p>
    <w:p w:rsidR="003E24D0" w:rsidRPr="00213D63" w:rsidRDefault="003E24D0" w:rsidP="003E24D0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</w:pP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Risk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 and </w:t>
      </w:r>
      <w:proofErr w:type="spellStart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Reward</w:t>
      </w:r>
      <w:proofErr w:type="spellEnd"/>
      <w:r w:rsidRPr="00CC3131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ED77C7">
        <w:rPr>
          <w:rFonts w:asciiTheme="majorBidi" w:eastAsia="Times New Roman" w:hAnsiTheme="majorBidi" w:cstheme="majorBidi"/>
          <w:sz w:val="28"/>
          <w:szCs w:val="28"/>
          <w:highlight w:val="yellow"/>
          <w:lang w:eastAsia="fr-FR"/>
        </w:rPr>
        <w:t> 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Depositors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in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Islamic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investment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accounts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are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exposed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to 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risks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and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rewards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of the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underlying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investments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,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unlike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 xml:space="preserve"> in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highlight w:val="yellow"/>
          <w:lang w:eastAsia="fr-FR"/>
        </w:rPr>
        <w:t>conventional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banking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where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deposits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are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typically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guaranteed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.</w:t>
      </w:r>
      <w:r w:rsidRPr="00213D63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</w:p>
    <w:p w:rsidR="003E24D0" w:rsidRPr="00213D63" w:rsidRDefault="003E24D0" w:rsidP="003E24D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</w:pPr>
      <w:proofErr w:type="spellStart"/>
      <w:r w:rsidRPr="00213D63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lastRenderedPageBreak/>
        <w:t>Financing</w:t>
      </w:r>
      <w:proofErr w:type="spellEnd"/>
      <w:r w:rsidRPr="00213D63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:</w:t>
      </w:r>
      <w:r w:rsidRPr="00ED77C7">
        <w:rPr>
          <w:rFonts w:asciiTheme="majorBidi" w:eastAsia="Times New Roman" w:hAnsiTheme="majorBidi" w:cstheme="majorBidi"/>
          <w:sz w:val="28"/>
          <w:szCs w:val="28"/>
          <w:lang w:eastAsia="fr-FR"/>
        </w:rPr>
        <w:t> 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Funds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from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these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accounts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are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directed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towards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Shariah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-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compliant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financing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,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including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equity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-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based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and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trade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financing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, not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simply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debt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-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based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 xml:space="preserve"> </w:t>
      </w:r>
      <w:proofErr w:type="spellStart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lending</w:t>
      </w:r>
      <w:proofErr w:type="spellEnd"/>
      <w:r w:rsidRPr="00ED77C7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.</w:t>
      </w:r>
      <w:r w:rsidRPr="00213D63">
        <w:rPr>
          <w:rFonts w:asciiTheme="majorBidi" w:eastAsia="Times New Roman" w:hAnsiTheme="majorBidi" w:cstheme="majorBidi"/>
          <w:spacing w:val="2"/>
          <w:sz w:val="28"/>
          <w:szCs w:val="28"/>
          <w:lang w:eastAsia="fr-FR"/>
        </w:rPr>
        <w:t> </w:t>
      </w:r>
    </w:p>
    <w:p w:rsidR="003E24D0" w:rsidRDefault="003E24D0" w:rsidP="003E24D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4"/>
          <w:szCs w:val="24"/>
          <w:lang w:eastAsia="fr-FR"/>
        </w:rPr>
      </w:pPr>
    </w:p>
    <w:p w:rsidR="00847843" w:rsidRDefault="00847843"/>
    <w:sectPr w:rsidR="00847843" w:rsidSect="0084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5B5"/>
    <w:multiLevelType w:val="multilevel"/>
    <w:tmpl w:val="EE02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01ACB"/>
    <w:multiLevelType w:val="multilevel"/>
    <w:tmpl w:val="16C4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A5253"/>
    <w:multiLevelType w:val="multilevel"/>
    <w:tmpl w:val="13C4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E6BB9"/>
    <w:multiLevelType w:val="multilevel"/>
    <w:tmpl w:val="C262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D50F0"/>
    <w:multiLevelType w:val="multilevel"/>
    <w:tmpl w:val="A3A4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D1F54"/>
    <w:multiLevelType w:val="hybridMultilevel"/>
    <w:tmpl w:val="792E7E98"/>
    <w:lvl w:ilvl="0" w:tplc="FAA2CE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62602"/>
    <w:multiLevelType w:val="hybridMultilevel"/>
    <w:tmpl w:val="9BA455E4"/>
    <w:lvl w:ilvl="0" w:tplc="0108FCF2">
      <w:start w:val="1"/>
      <w:numFmt w:val="lowerLetter"/>
      <w:lvlText w:val="%1-"/>
      <w:lvlJc w:val="left"/>
      <w:pPr>
        <w:ind w:left="49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440F343C"/>
    <w:multiLevelType w:val="multilevel"/>
    <w:tmpl w:val="559C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6083A"/>
    <w:multiLevelType w:val="multilevel"/>
    <w:tmpl w:val="8B1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53260E"/>
    <w:multiLevelType w:val="multilevel"/>
    <w:tmpl w:val="1FCA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4D0"/>
    <w:rsid w:val="000064C7"/>
    <w:rsid w:val="00006D0E"/>
    <w:rsid w:val="000A4CE1"/>
    <w:rsid w:val="0018065B"/>
    <w:rsid w:val="003E1EEA"/>
    <w:rsid w:val="003E24D0"/>
    <w:rsid w:val="00473F89"/>
    <w:rsid w:val="00525852"/>
    <w:rsid w:val="006949F3"/>
    <w:rsid w:val="00847843"/>
    <w:rsid w:val="009270D5"/>
    <w:rsid w:val="00AC4A30"/>
    <w:rsid w:val="00AD7429"/>
    <w:rsid w:val="00AF0D78"/>
    <w:rsid w:val="00CC3131"/>
    <w:rsid w:val="00D128B4"/>
    <w:rsid w:val="00DA69AA"/>
    <w:rsid w:val="00F0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EE5"/>
    <w:pPr>
      <w:ind w:left="720"/>
      <w:contextualSpacing/>
    </w:pPr>
  </w:style>
  <w:style w:type="character" w:customStyle="1" w:styleId="uv3um">
    <w:name w:val="uv3um"/>
    <w:basedOn w:val="Policepardfaut"/>
    <w:rsid w:val="00F06EE5"/>
  </w:style>
  <w:style w:type="table" w:styleId="Grilledutableau">
    <w:name w:val="Table Grid"/>
    <w:basedOn w:val="TableauNormal"/>
    <w:uiPriority w:val="59"/>
    <w:rsid w:val="00F06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F0D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1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6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0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45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79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15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8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8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6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20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6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8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0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3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0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5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06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3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3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503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37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4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7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2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00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1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9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4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82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95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48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3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40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49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2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0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9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944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2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72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3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3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5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2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c0c5f8a9bbcfecc7&amp;cs=0&amp;sxsrf=AE3TifPCtb3bY-GchMLW27xVUNpnRT_Q_Q%3A1759469923454&amp;q=Profit+Equalization+Reserves&amp;sa=X&amp;ved=2ahUKEwjD-PudqIeQAxVUUqQEHZdQD4sQxccNegQIHRAB&amp;mstk=AUtExfDGKZ1g3kGdJWRLAvWewM5kATj5sLjuUcTEVhI-nQ-oOa2bX4bYMswInu_51_S8wFwOKv1-nM8Rws6fdNmTyBUH6EQcaC3LNJ1qiqSmM370UsxdvcFqaC0OxHnE2gN0EbNMTW0TBHRmm4s8VioWzgqeSkKXCz1iYqfX7a6AHZ75zPVrKmWKRDal0an-aS-7ildQu5eRnipPCfvQ8C5rDVFrS1ysVyhjelzU4g05Be60t4OI8PpSclPvZnRP5Tq9YGDCQDBO9OCw2SKunEXXulXj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c0c5f8a9bbcfecc7&amp;cs=0&amp;sxsrf=AE3TifPCtb3bY-GchMLW27xVUNpnRT_Q_Q%3A1759469923454&amp;q=Shariah&amp;sa=X&amp;ved=2ahUKEwjD-PudqIeQAxVUUqQEHZdQD4sQxccNegQIGxAB&amp;mstk=AUtExfDGKZ1g3kGdJWRLAvWewM5kATj5sLjuUcTEVhI-nQ-oOa2bX4bYMswInu_51_S8wFwOKv1-nM8Rws6fdNmTyBUH6EQcaC3LNJ1qiqSmM370UsxdvcFqaC0OxHnE2gN0EbNMTW0TBHRmm4s8VioWzgqeSkKXCz1iYqfX7a6AHZ75zPVrKmWKRDal0an-aS-7ildQu5eRnipPCfvQ8C5rDVFrS1ysVyhjelzU4g05Be60t4OI8PpSclPvZnRP5Tq9YGDCQDBO9OCw2SKunEXXulXj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c0c5f8a9bbcfecc7&amp;cs=0&amp;sxsrf=AE3TifPCtb3bY-GchMLW27xVUNpnRT_Q_Q%3A1759469923454&amp;q=AAOIFI&amp;sa=X&amp;ved=2ahUKEwjD-PudqIeQAxVUUqQEHZdQD4sQxccNegQIAhAD&amp;mstk=AUtExfDGKZ1g3kGdJWRLAvWewM5kATj5sLjuUcTEVhI-nQ-oOa2bX4bYMswInu_51_S8wFwOKv1-nM8Rws6fdNmTyBUH6EQcaC3LNJ1qiqSmM370UsxdvcFqaC0OxHnE2gN0EbNMTW0TBHRmm4s8VioWzgqeSkKXCz1iYqfX7a6AHZ75zPVrKmWKRDal0an-aS-7ildQu5eRnipPCfvQ8C5rDVFrS1ysVyhjelzU4g05Be60t4OI8PpSclPvZnRP5Tq9YGDCQDBO9OCw2SKunEXXulXj&amp;csui=3" TargetMode="External"/><Relationship Id="rId5" Type="http://schemas.openxmlformats.org/officeDocument/2006/relationships/hyperlink" Target="https://www.google.com/search?sca_esv=c0c5f8a9bbcfecc7&amp;cs=0&amp;sxsrf=AE3TifPCtb3bY-GchMLW27xVUNpnRT_Q_Q%3A1759469923454&amp;q=IFSB&amp;sa=X&amp;ved=2ahUKEwjD-PudqIeQAxVUUqQEHZdQD4sQxccNegQIAhAC&amp;mstk=AUtExfDGKZ1g3kGdJWRLAvWewM5kATj5sLjuUcTEVhI-nQ-oOa2bX4bYMswInu_51_S8wFwOKv1-nM8Rws6fdNmTyBUH6EQcaC3LNJ1qiqSmM370UsxdvcFqaC0OxHnE2gN0EbNMTW0TBHRmm4s8VioWzgqeSkKXCz1iYqfX7a6AHZ75zPVrKmWKRDal0an-aS-7ildQu5eRnipPCfvQ8C5rDVFrS1ysVyhjelzU4g05Be60t4OI8PpSclPvZnRP5Tq9YGDCQDBO9OCw2SKunEXXulXj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2</cp:revision>
  <dcterms:created xsi:type="dcterms:W3CDTF">2025-10-03T19:02:00Z</dcterms:created>
  <dcterms:modified xsi:type="dcterms:W3CDTF">2025-10-03T19:02:00Z</dcterms:modified>
</cp:coreProperties>
</file>